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color w:val="auto"/>
          <w:sz w:val="24"/>
          <w:szCs w:val="24"/>
          <w:highlight w:val="none"/>
        </w:rPr>
      </w:pPr>
      <w:bookmarkStart w:id="0" w:name="_Toc257663197"/>
      <w:bookmarkStart w:id="1" w:name="_Toc197396212"/>
      <w:bookmarkStart w:id="2" w:name="_Toc197397150"/>
    </w:p>
    <w:p>
      <w:pPr>
        <w:spacing w:line="360" w:lineRule="auto"/>
        <w:rPr>
          <w:rFonts w:ascii="宋体"/>
          <w:b/>
          <w:bCs/>
          <w:color w:val="auto"/>
          <w:sz w:val="36"/>
          <w:szCs w:val="36"/>
          <w:highlight w:val="none"/>
        </w:rPr>
      </w:pPr>
    </w:p>
    <w:p>
      <w:pPr>
        <w:spacing w:line="360" w:lineRule="auto"/>
        <w:jc w:val="center"/>
        <w:rPr>
          <w:rFonts w:ascii="宋体"/>
          <w:color w:val="auto"/>
          <w:sz w:val="44"/>
          <w:szCs w:val="44"/>
          <w:highlight w:val="none"/>
        </w:rPr>
      </w:pPr>
      <w:r>
        <w:rPr>
          <w:rFonts w:hint="eastAsia" w:ascii="宋体" w:hAnsi="宋体" w:cs="宋体"/>
          <w:b/>
          <w:bCs/>
          <w:color w:val="auto"/>
          <w:spacing w:val="-24"/>
          <w:sz w:val="44"/>
          <w:szCs w:val="44"/>
          <w:highlight w:val="none"/>
          <w:lang w:val="en-US" w:eastAsia="zh-CN"/>
        </w:rPr>
        <w:t>石家庄机场二期改扩建工程建筑物质量安全检测鉴定</w:t>
      </w:r>
      <w:r>
        <w:rPr>
          <w:rFonts w:hint="eastAsia" w:ascii="宋体" w:hAnsi="宋体" w:cs="宋体"/>
          <w:b/>
          <w:bCs/>
          <w:color w:val="auto"/>
          <w:spacing w:val="-24"/>
          <w:sz w:val="44"/>
          <w:szCs w:val="44"/>
          <w:highlight w:val="none"/>
          <w:lang w:eastAsia="zh-CN"/>
        </w:rPr>
        <w:t>项目</w:t>
      </w:r>
    </w:p>
    <w:p>
      <w:pPr>
        <w:spacing w:line="360" w:lineRule="auto"/>
        <w:rPr>
          <w:rFonts w:ascii="宋体"/>
          <w:b/>
          <w:bCs/>
          <w:color w:val="auto"/>
          <w:sz w:val="84"/>
          <w:szCs w:val="84"/>
          <w:highlight w:val="none"/>
        </w:rPr>
      </w:pPr>
    </w:p>
    <w:p>
      <w:pPr>
        <w:spacing w:line="360" w:lineRule="auto"/>
        <w:jc w:val="center"/>
        <w:rPr>
          <w:rFonts w:hint="eastAsia" w:ascii="宋体" w:hAnsi="宋体" w:cs="宋体"/>
          <w:b/>
          <w:bCs/>
          <w:color w:val="auto"/>
          <w:sz w:val="84"/>
          <w:szCs w:val="84"/>
          <w:highlight w:val="none"/>
        </w:rPr>
      </w:pPr>
      <w:r>
        <w:rPr>
          <w:rFonts w:hint="eastAsia" w:ascii="宋体" w:hAnsi="宋体" w:cs="宋体"/>
          <w:b/>
          <w:bCs/>
          <w:color w:val="auto"/>
          <w:sz w:val="84"/>
          <w:szCs w:val="84"/>
          <w:highlight w:val="none"/>
        </w:rPr>
        <w:t>谈判技术及商务说明</w:t>
      </w: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文 件</w:t>
      </w: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32"/>
          <w:szCs w:val="32"/>
          <w:highlight w:val="none"/>
        </w:rPr>
      </w:pP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责任单位：</w:t>
      </w:r>
      <w:r>
        <w:rPr>
          <w:rFonts w:hint="eastAsia" w:ascii="宋体" w:hAnsi="宋体" w:cs="宋体"/>
          <w:b/>
          <w:bCs/>
          <w:color w:val="auto"/>
          <w:sz w:val="32"/>
          <w:szCs w:val="32"/>
          <w:highlight w:val="none"/>
          <w:lang w:val="en-US" w:eastAsia="zh-CN"/>
        </w:rPr>
        <w:t>建设项目管理指挥部</w:t>
      </w: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 xml:space="preserve"> 二○二</w:t>
      </w:r>
      <w:r>
        <w:rPr>
          <w:rFonts w:hint="eastAsia" w:ascii="宋体" w:hAnsi="宋体" w:cs="宋体"/>
          <w:b/>
          <w:bCs/>
          <w:color w:val="auto"/>
          <w:sz w:val="32"/>
          <w:szCs w:val="32"/>
          <w:highlight w:val="none"/>
          <w:lang w:val="en-US" w:eastAsia="zh-CN"/>
        </w:rPr>
        <w:t>四</w:t>
      </w:r>
      <w:r>
        <w:rPr>
          <w:rFonts w:hint="eastAsia" w:ascii="宋体" w:hAnsi="宋体" w:cs="宋体"/>
          <w:b/>
          <w:bCs/>
          <w:color w:val="auto"/>
          <w:sz w:val="32"/>
          <w:szCs w:val="32"/>
          <w:highlight w:val="none"/>
        </w:rPr>
        <w:t>年</w:t>
      </w:r>
      <w:r>
        <w:rPr>
          <w:rFonts w:hint="eastAsia" w:ascii="宋体" w:hAnsi="宋体" w:cs="宋体"/>
          <w:b/>
          <w:bCs/>
          <w:color w:val="auto"/>
          <w:sz w:val="32"/>
          <w:szCs w:val="32"/>
          <w:highlight w:val="none"/>
          <w:lang w:val="en-US" w:eastAsia="zh-CN"/>
        </w:rPr>
        <w:t>三</w:t>
      </w:r>
      <w:r>
        <w:rPr>
          <w:rFonts w:hint="eastAsia" w:ascii="宋体" w:hAnsi="宋体" w:cs="宋体"/>
          <w:b/>
          <w:bCs/>
          <w:color w:val="auto"/>
          <w:sz w:val="32"/>
          <w:szCs w:val="32"/>
          <w:highlight w:val="none"/>
        </w:rPr>
        <w:t>月</w:t>
      </w:r>
    </w:p>
    <w:p>
      <w:pPr>
        <w:spacing w:line="360" w:lineRule="auto"/>
        <w:jc w:val="center"/>
        <w:rPr>
          <w:rFonts w:ascii="宋体"/>
          <w:b/>
          <w:bCs/>
          <w:color w:val="auto"/>
          <w:sz w:val="32"/>
          <w:szCs w:val="32"/>
          <w:highlight w:val="none"/>
        </w:rPr>
      </w:pPr>
    </w:p>
    <w:p>
      <w:pPr>
        <w:spacing w:line="360" w:lineRule="auto"/>
        <w:jc w:val="center"/>
        <w:rPr>
          <w:rFonts w:ascii="宋体"/>
          <w:b/>
          <w:bCs/>
          <w:color w:val="auto"/>
          <w:sz w:val="32"/>
          <w:szCs w:val="32"/>
          <w:highlight w:val="none"/>
        </w:rPr>
      </w:pPr>
    </w:p>
    <w:p>
      <w:pPr>
        <w:spacing w:line="360" w:lineRule="auto"/>
        <w:jc w:val="center"/>
        <w:rPr>
          <w:rFonts w:ascii="宋体"/>
          <w:color w:val="auto"/>
          <w:sz w:val="44"/>
          <w:szCs w:val="44"/>
          <w:highlight w:val="none"/>
        </w:rPr>
      </w:pPr>
    </w:p>
    <w:p>
      <w:pPr>
        <w:tabs>
          <w:tab w:val="right" w:leader="dot" w:pos="8436"/>
        </w:tabs>
        <w:spacing w:line="360" w:lineRule="auto"/>
        <w:jc w:val="both"/>
        <w:rPr>
          <w:rFonts w:ascii="宋体" w:hAnsi="宋体" w:cs="宋体"/>
          <w:color w:val="auto"/>
          <w:sz w:val="44"/>
          <w:szCs w:val="44"/>
          <w:highlight w:val="none"/>
        </w:rPr>
      </w:pPr>
    </w:p>
    <w:p>
      <w:pPr>
        <w:tabs>
          <w:tab w:val="right" w:leader="dot" w:pos="8436"/>
        </w:tabs>
        <w:spacing w:line="360" w:lineRule="auto"/>
        <w:ind w:firstLine="187"/>
        <w:jc w:val="center"/>
        <w:rPr>
          <w:rFonts w:ascii="宋体"/>
          <w:color w:val="auto"/>
          <w:sz w:val="44"/>
          <w:szCs w:val="44"/>
          <w:highlight w:val="none"/>
        </w:rPr>
      </w:pPr>
      <w:r>
        <w:rPr>
          <w:rFonts w:hint="eastAsia" w:ascii="方正小标宋_GBK" w:hAnsi="方正小标宋_GBK" w:eastAsia="方正小标宋_GBK" w:cs="方正小标宋_GBK"/>
          <w:color w:val="auto"/>
          <w:sz w:val="44"/>
          <w:szCs w:val="44"/>
          <w:highlight w:val="none"/>
        </w:rPr>
        <w:t>目    录</w:t>
      </w:r>
    </w:p>
    <w:p>
      <w:pPr>
        <w:rPr>
          <w:rFonts w:hint="eastAsia" w:ascii="宋体" w:hAnsi="宋体" w:eastAsia="宋体" w:cs="宋体"/>
          <w:color w:val="auto"/>
          <w:sz w:val="28"/>
          <w:szCs w:val="28"/>
          <w:highlight w:val="none"/>
        </w:rPr>
      </w:pPr>
    </w:p>
    <w:p>
      <w:pPr>
        <w:spacing w:line="360" w:lineRule="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"_Toc12513"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第一章 谈判邀请</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函</w:t>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第二章 谈判须知</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第三章 内容及技术要求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章 参选文件格式要求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章 供应商参选确认函</w:t>
      </w:r>
      <w:r>
        <w:rPr>
          <w:rFonts w:hint="eastAsia" w:ascii="仿宋_GB2312" w:hAnsi="仿宋_GB2312" w:eastAsia="仿宋_GB2312" w:cs="仿宋_GB2312"/>
          <w:color w:val="auto"/>
          <w:sz w:val="32"/>
          <w:szCs w:val="32"/>
          <w:highlight w:val="none"/>
        </w:rPr>
        <w:fldChar w:fldCharType="end"/>
      </w:r>
    </w:p>
    <w:p>
      <w:pPr>
        <w:widowControl/>
        <w:spacing w:line="360" w:lineRule="auto"/>
        <w:jc w:val="left"/>
        <w:rPr>
          <w:color w:val="auto"/>
          <w:highlight w:val="none"/>
        </w:rPr>
        <w:sectPr>
          <w:pgSz w:w="11905" w:h="16840"/>
          <w:pgMar w:top="2098" w:right="1474" w:bottom="1984" w:left="1587" w:header="851" w:footer="851" w:gutter="113"/>
          <w:pgNumType w:start="1"/>
          <w:cols w:space="720" w:num="1"/>
        </w:sectPr>
      </w:pPr>
    </w:p>
    <w:p>
      <w:pPr>
        <w:spacing w:line="360" w:lineRule="auto"/>
        <w:jc w:val="center"/>
        <w:outlineLvl w:val="0"/>
        <w:rPr>
          <w:rFonts w:hint="eastAsia" w:ascii="方正小标宋_GBK" w:hAnsi="方正小标宋_GBK" w:eastAsia="方正小标宋_GBK" w:cs="方正小标宋_GBK"/>
          <w:color w:val="auto"/>
          <w:sz w:val="44"/>
          <w:szCs w:val="44"/>
          <w:highlight w:val="none"/>
        </w:rPr>
      </w:pPr>
      <w:bookmarkStart w:id="3" w:name="_Toc12513"/>
      <w:r>
        <w:rPr>
          <w:rFonts w:hint="eastAsia" w:ascii="方正小标宋_GBK" w:hAnsi="方正小标宋_GBK" w:eastAsia="方正小标宋_GBK" w:cs="方正小标宋_GBK"/>
          <w:color w:val="auto"/>
          <w:sz w:val="44"/>
          <w:szCs w:val="44"/>
          <w:highlight w:val="none"/>
        </w:rPr>
        <w:t>第一章  谈判邀请函</w:t>
      </w:r>
    </w:p>
    <w:p>
      <w:pPr>
        <w:spacing w:line="360" w:lineRule="auto"/>
        <w:ind w:firstLine="640" w:firstLineChars="200"/>
        <w:jc w:val="left"/>
        <w:outlineLvl w:val="0"/>
        <w:rPr>
          <w:rFonts w:hint="eastAsia" w:ascii="仿宋_GB2312" w:hAnsi="仿宋_GB2312" w:eastAsia="仿宋_GB2312" w:cs="仿宋_GB2312"/>
          <w:color w:val="auto"/>
          <w:sz w:val="32"/>
          <w:szCs w:val="32"/>
          <w:highlight w:val="none"/>
        </w:rPr>
      </w:pPr>
      <w:r>
        <w:rPr>
          <w:rFonts w:hint="eastAsia" w:ascii="宋体" w:hAnsi="宋体" w:cs="宋体"/>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lang w:val="en-US" w:eastAsia="zh-CN"/>
        </w:rPr>
        <w:t xml:space="preserve"> 石家庄机场二期改扩建工程建筑物质量安全检测鉴定</w:t>
      </w:r>
      <w:r>
        <w:rPr>
          <w:rFonts w:hint="eastAsia" w:ascii="仿宋_GB2312" w:hAnsi="仿宋_GB2312" w:eastAsia="仿宋_GB2312" w:cs="仿宋_GB2312"/>
          <w:color w:val="auto"/>
          <w:sz w:val="32"/>
          <w:szCs w:val="32"/>
          <w:highlight w:val="none"/>
          <w:u w:val="single"/>
          <w:lang w:eastAsia="zh-CN"/>
        </w:rPr>
        <w:t>项目</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采用谈判方式发包，现邀请合格的供应商参加报价和谈判。             </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1、项目名称</w:t>
      </w:r>
      <w:r>
        <w:rPr>
          <w:rFonts w:hint="eastAsia" w:ascii="仿宋_GB2312" w:hAnsi="仿宋_GB2312" w:eastAsia="仿宋_GB2312" w:cs="仿宋_GB2312"/>
          <w:color w:val="auto"/>
          <w:sz w:val="32"/>
          <w:szCs w:val="32"/>
          <w:highlight w:val="none"/>
          <w:lang w:eastAsia="zh-CN"/>
        </w:rPr>
        <w:t>：</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2、响应性文件份数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正本1份、副本2份。</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3、递交响应性文件截止时间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w:t>
      </w:r>
      <w:bookmarkStart w:id="17" w:name="_GoBack"/>
      <w:bookmarkEnd w:id="17"/>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日。</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4、递交地点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河北省石家庄市正定县河北机场集团办公楼9楼918综合管控办公室</w:t>
      </w:r>
      <w:r>
        <w:rPr>
          <w:rFonts w:hint="eastAsia" w:ascii="仿宋_GB2312" w:hAnsi="仿宋_GB2312" w:eastAsia="仿宋_GB2312" w:cs="仿宋_GB2312"/>
          <w:color w:val="auto"/>
          <w:sz w:val="32"/>
          <w:szCs w:val="32"/>
          <w:highlight w:val="none"/>
        </w:rPr>
        <w:t>（逾期送达的或者未送达指定地点的文件不予受理）</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5、响应性文件接收人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李泽凯</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6、谈判时间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 xml:space="preserve"> 14 </w:t>
      </w:r>
      <w:r>
        <w:rPr>
          <w:rFonts w:hint="eastAsia" w:ascii="仿宋_GB2312" w:hAnsi="仿宋_GB2312" w:eastAsia="仿宋_GB2312" w:cs="仿宋_GB2312"/>
          <w:color w:val="auto"/>
          <w:sz w:val="32"/>
          <w:szCs w:val="32"/>
          <w:highlight w:val="none"/>
        </w:rPr>
        <w:t xml:space="preserve">时。    </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谈判地点</w:t>
      </w:r>
      <w:r>
        <w:rPr>
          <w:rFonts w:hint="eastAsia" w:ascii="仿宋_GB2312" w:hAnsi="仿宋_GB2312" w:eastAsia="仿宋_GB2312" w:cs="仿宋_GB2312"/>
          <w:color w:val="auto"/>
          <w:sz w:val="32"/>
          <w:szCs w:val="32"/>
          <w:highlight w:val="none"/>
          <w:lang w:eastAsia="zh-CN"/>
        </w:rPr>
        <w:t>：</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届时请参加谈判的单位法定代表人或法人委托人参与谈判。</w:t>
      </w:r>
    </w:p>
    <w:p>
      <w:pPr>
        <w:spacing w:line="360" w:lineRule="auto"/>
        <w:jc w:val="left"/>
        <w:outlineLvl w:val="0"/>
        <w:rPr>
          <w:rFonts w:hint="eastAsia" w:ascii="仿宋_GB2312" w:hAnsi="仿宋_GB2312" w:eastAsia="仿宋_GB2312" w:cs="仿宋_GB2312"/>
          <w:color w:val="auto"/>
          <w:sz w:val="32"/>
          <w:szCs w:val="32"/>
          <w:highlight w:val="none"/>
        </w:rPr>
      </w:pPr>
    </w:p>
    <w:p>
      <w:pPr>
        <w:pStyle w:val="8"/>
        <w:rPr>
          <w:rFonts w:hint="eastAsia"/>
          <w:color w:val="auto"/>
          <w:sz w:val="32"/>
          <w:szCs w:val="32"/>
          <w:highlight w:val="none"/>
        </w:rPr>
      </w:pP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责任单位：</w:t>
      </w:r>
      <w:r>
        <w:rPr>
          <w:rFonts w:hint="eastAsia" w:ascii="仿宋_GB2312" w:hAnsi="仿宋_GB2312" w:eastAsia="仿宋_GB2312" w:cs="仿宋_GB2312"/>
          <w:color w:val="auto"/>
          <w:sz w:val="32"/>
          <w:szCs w:val="32"/>
          <w:highlight w:val="none"/>
          <w:lang w:val="en-US" w:eastAsia="zh-CN"/>
        </w:rPr>
        <w:t>河北机场管理集团有限公司建设项目管理指挥部</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王伟篙、李泽凯</w:t>
      </w: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13933850929、18940831126</w:t>
      </w:r>
    </w:p>
    <w:p>
      <w:pPr>
        <w:spacing w:line="360" w:lineRule="auto"/>
        <w:ind w:firstLine="200"/>
        <w:jc w:val="left"/>
        <w:outlineLvl w:val="0"/>
        <w:rPr>
          <w:rFonts w:hint="eastAsia" w:ascii="宋体" w:hAnsi="宋体" w:cs="宋体"/>
          <w:color w:val="auto"/>
          <w:sz w:val="32"/>
          <w:szCs w:val="32"/>
          <w:highlight w:val="none"/>
          <w:lang w:eastAsia="zh-CN"/>
        </w:rPr>
      </w:pPr>
    </w:p>
    <w:p>
      <w:pPr>
        <w:spacing w:line="360" w:lineRule="auto"/>
        <w:ind w:firstLine="200"/>
        <w:jc w:val="left"/>
        <w:outlineLvl w:val="0"/>
        <w:rPr>
          <w:rFonts w:hint="eastAsia" w:ascii="宋体" w:hAnsi="宋体" w:cs="宋体"/>
          <w:color w:val="auto"/>
          <w:sz w:val="28"/>
          <w:szCs w:val="28"/>
          <w:highlight w:val="none"/>
          <w:lang w:val="en-US" w:eastAsia="zh-CN"/>
        </w:rPr>
        <w:sectPr>
          <w:pgSz w:w="11905" w:h="16840"/>
          <w:pgMar w:top="1418" w:right="1418" w:bottom="1418" w:left="1418" w:header="851" w:footer="851" w:gutter="113"/>
          <w:pgNumType w:start="1"/>
          <w:cols w:space="720" w:num="1"/>
        </w:sectPr>
      </w:pPr>
    </w:p>
    <w:bookmarkEnd w:id="3"/>
    <w:p>
      <w:pPr>
        <w:numPr>
          <w:ilvl w:val="0"/>
          <w:numId w:val="2"/>
        </w:numPr>
        <w:spacing w:line="240" w:lineRule="auto"/>
        <w:jc w:val="center"/>
        <w:outlineLvl w:val="0"/>
        <w:rPr>
          <w:rFonts w:hint="eastAsia" w:ascii="方正小标宋_GBK" w:hAnsi="方正小标宋_GBK" w:eastAsia="方正小标宋_GBK" w:cs="方正小标宋_GBK"/>
          <w:color w:val="auto"/>
          <w:sz w:val="44"/>
          <w:szCs w:val="44"/>
          <w:highlight w:val="none"/>
        </w:rPr>
      </w:pPr>
      <w:bookmarkStart w:id="4" w:name="_Toc197396162"/>
      <w:bookmarkStart w:id="5" w:name="_Toc261847252"/>
      <w:bookmarkStart w:id="6" w:name="_Toc394392381"/>
      <w:bookmarkStart w:id="7" w:name="_Toc197397100"/>
      <w:bookmarkStart w:id="8" w:name="_Toc9094"/>
      <w:r>
        <w:rPr>
          <w:rFonts w:hint="eastAsia" w:ascii="方正小标宋_GBK" w:hAnsi="方正小标宋_GBK" w:eastAsia="方正小标宋_GBK" w:cs="方正小标宋_GBK"/>
          <w:color w:val="auto"/>
          <w:sz w:val="44"/>
          <w:szCs w:val="44"/>
          <w:highlight w:val="none"/>
        </w:rPr>
        <w:t>谈判须知</w:t>
      </w:r>
    </w:p>
    <w:p>
      <w:pPr>
        <w:pStyle w:val="8"/>
        <w:numPr>
          <w:ilvl w:val="0"/>
          <w:numId w:val="0"/>
        </w:numPr>
        <w:ind w:leftChars="400"/>
        <w:rPr>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一、参加谈判的供应商须遵守有关的法律法规，否则一切法律责任由供应商自己承担。</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一切与谈判有关的费用，均由参加谈判的供应商自理。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遇不可抗力因素，</w:t>
      </w:r>
      <w:r>
        <w:rPr>
          <w:rFonts w:hint="eastAsia" w:ascii="仿宋_GB2312" w:hAnsi="仿宋_GB2312" w:eastAsia="仿宋_GB2312" w:cs="仿宋_GB2312"/>
          <w:color w:val="auto"/>
          <w:sz w:val="32"/>
          <w:szCs w:val="32"/>
          <w:highlight w:val="none"/>
          <w:u w:val="single"/>
          <w:lang w:val="en-US" w:eastAsia="zh-CN"/>
        </w:rPr>
        <w:t xml:space="preserve">河北机场管理集团有限公司建设项目管理指挥部 </w:t>
      </w:r>
      <w:r>
        <w:rPr>
          <w:rFonts w:hint="eastAsia" w:ascii="仿宋_GB2312" w:hAnsi="仿宋_GB2312" w:eastAsia="仿宋_GB2312" w:cs="仿宋_GB2312"/>
          <w:color w:val="auto"/>
          <w:sz w:val="32"/>
          <w:szCs w:val="32"/>
          <w:highlight w:val="none"/>
        </w:rPr>
        <w:t>有权对谈判时间、地点进行变更并以书面形式通知所有参加谈判的供应商。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二、供应商资格要求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谈判供应商是指向采购人提供货物、工程或者服务的法人、其他组织或者自然人。本次谈判供应商必须符合下列条件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（一）供应商须为中华人民共和国境内注册的具有合法经营的企业法人，具有</w:t>
      </w:r>
      <w:r>
        <w:rPr>
          <w:rFonts w:hint="eastAsia" w:ascii="仿宋_GB2312" w:hAnsi="仿宋_GB2312" w:eastAsia="仿宋_GB2312" w:cs="仿宋_GB2312"/>
          <w:b w:val="0"/>
          <w:bCs w:val="0"/>
          <w:color w:val="auto"/>
          <w:sz w:val="32"/>
          <w:szCs w:val="32"/>
          <w:highlight w:val="none"/>
          <w:lang w:val="en-US" w:eastAsia="zh-CN"/>
        </w:rPr>
        <w:t>独立法人资格</w:t>
      </w:r>
      <w:r>
        <w:rPr>
          <w:rFonts w:hint="eastAsia" w:ascii="仿宋_GB2312" w:hAnsi="仿宋_GB2312" w:eastAsia="仿宋_GB2312" w:cs="仿宋_GB2312"/>
          <w:color w:val="auto"/>
          <w:sz w:val="32"/>
          <w:szCs w:val="32"/>
          <w:highlight w:val="none"/>
          <w:lang w:val="en-US" w:eastAsia="zh-CN"/>
        </w:rPr>
        <w:t>和订立并履行合同的能力，发包内容在其营业执照的经营范围内。（提供在有效期内的营业执照并加盖公章）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（二）未被列入“失信被执行人、税收违法黑名单、政府采购严重违法失信行为记录名单”等。（提供书面声明及信用中国网站查询结果并加盖公章，查询报告生成日期应在谈判公告发布之后）</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与发包人存在利害关系可能影响谈判公正性的法人、其他组织或者个人，不得参加本次谈判。单位负责人为同一人或者存在控股、管理关系的不同单位，不得同时参加本项目谈判。（提供书面声明并加盖公章）</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具备省级及以上建设行政主管部门颁发的《建设工程质量检测机构资质证书》（资质中检测范围须包括见证取样检测、主体结构工程检测、地基基础检测资质）；具备省级及以上市场监督管理部门颁发的《检验检测机构资质认定证书》；具备建设行政主管部门颁发的工程勘察工程测量专业乙级及以上资质证书。</w:t>
      </w:r>
      <w:r>
        <w:rPr>
          <w:rFonts w:hint="eastAsia" w:ascii="仿宋_GB2312" w:hAnsi="仿宋_GB2312" w:eastAsia="仿宋_GB2312" w:cs="仿宋_GB2312"/>
          <w:snapToGrid/>
          <w:color w:val="auto"/>
          <w:spacing w:val="0"/>
          <w:kern w:val="0"/>
          <w:position w:val="0"/>
          <w:sz w:val="32"/>
          <w:szCs w:val="32"/>
          <w:highlight w:val="none"/>
          <w:lang w:val="en-US" w:eastAsia="zh-CN" w:bidi="ar-SA"/>
        </w:rPr>
        <w:t>（提供有效证明并加盖公章）</w:t>
      </w:r>
    </w:p>
    <w:p>
      <w:pPr>
        <w:pStyle w:val="2"/>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（五）业绩要求</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2021年1月1日以来，具有单项合同建筑面积5万平方米以上质量安全检测鉴定相关业绩。（以合同签订时间为准，提供合同复印件并加盖公章）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三、谈判技术及商务说明文件（以下简称“说明文件”）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bookmarkStart w:id="9" w:name="_Toc261847248"/>
      <w:bookmarkStart w:id="10" w:name="_Toc254360747"/>
      <w:bookmarkStart w:id="11" w:name="_Toc197397087"/>
      <w:bookmarkStart w:id="12" w:name="_Toc197396149"/>
      <w:bookmarkStart w:id="13" w:name="_Toc394392377"/>
      <w:r>
        <w:rPr>
          <w:rFonts w:hint="eastAsia" w:ascii="仿宋_GB2312" w:hAnsi="仿宋_GB2312" w:eastAsia="仿宋_GB2312" w:cs="仿宋_GB2312"/>
          <w:color w:val="auto"/>
          <w:sz w:val="32"/>
          <w:szCs w:val="32"/>
          <w:highlight w:val="none"/>
        </w:rPr>
        <w:t>（一）“说明文件”的获取</w:t>
      </w:r>
      <w:bookmarkEnd w:id="9"/>
      <w:bookmarkEnd w:id="10"/>
      <w:bookmarkEnd w:id="11"/>
      <w:bookmarkEnd w:id="12"/>
      <w:bookmarkEnd w:id="13"/>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符合要求的供应商均可报名，由责任单位对供应商资格进行审查，对符合条件的供应商由责任单位发出谈判邀请、供应商参选确认函及“说明文件”等。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rPr>
        <w:t>（二）“说明文件”</w:t>
      </w:r>
      <w:r>
        <w:rPr>
          <w:rFonts w:hint="eastAsia" w:ascii="仿宋_GB2312" w:hAnsi="仿宋_GB2312" w:eastAsia="仿宋_GB2312" w:cs="仿宋_GB2312"/>
          <w:color w:val="auto"/>
          <w:sz w:val="32"/>
          <w:szCs w:val="32"/>
          <w:highlight w:val="none"/>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“说明文件”</w:t>
      </w:r>
      <w:r>
        <w:rPr>
          <w:rFonts w:hint="eastAsia" w:ascii="仿宋_GB2312" w:hAnsi="仿宋_GB2312" w:eastAsia="仿宋_GB2312" w:cs="仿宋_GB2312"/>
          <w:color w:val="auto"/>
          <w:sz w:val="32"/>
          <w:szCs w:val="32"/>
          <w:highlight w:val="none"/>
          <w:shd w:val="clear" w:color="auto" w:fill="FFFFFF"/>
        </w:rPr>
        <w:t>由谈判邀请函、谈判须知、内容及技术要求、</w:t>
      </w:r>
      <w:r>
        <w:rPr>
          <w:rFonts w:hint="eastAsia" w:ascii="仿宋_GB2312" w:hAnsi="仿宋_GB2312" w:eastAsia="仿宋_GB2312" w:cs="仿宋_GB2312"/>
          <w:color w:val="auto"/>
          <w:sz w:val="32"/>
          <w:szCs w:val="32"/>
          <w:highlight w:val="none"/>
        </w:rPr>
        <w:t>谈判参选文件</w:t>
      </w:r>
      <w:r>
        <w:rPr>
          <w:rFonts w:hint="eastAsia" w:ascii="仿宋_GB2312" w:hAnsi="仿宋_GB2312" w:eastAsia="仿宋_GB2312" w:cs="仿宋_GB2312"/>
          <w:color w:val="auto"/>
          <w:sz w:val="32"/>
          <w:szCs w:val="32"/>
          <w:highlight w:val="none"/>
          <w:shd w:val="clear" w:color="auto" w:fill="FFFFFF"/>
        </w:rPr>
        <w:t>格式要求、谈</w:t>
      </w:r>
      <w:r>
        <w:rPr>
          <w:rFonts w:hint="eastAsia" w:ascii="仿宋_GB2312" w:hAnsi="仿宋_GB2312" w:eastAsia="仿宋_GB2312" w:cs="仿宋_GB2312"/>
          <w:color w:val="auto"/>
          <w:sz w:val="32"/>
          <w:szCs w:val="32"/>
          <w:highlight w:val="none"/>
        </w:rPr>
        <w:t>判文件其他资料等内容组成。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（三）“说明文件”的解释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的供应商对说明文件有疑问，必须以书面形式向</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要求澄清，</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（四）“说明文件”的修改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1、在谈判截止日前，</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对“说明文件”作出的书面修改及补充，是“说明文件”不可分割的部分。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2、为使各供应商有足够的时间按修改和补充文件要求编写谈判参选文件，</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有权推迟谈判时间，并以书面方式通知所有取得“说明文件”的供应商。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（五）“说明文件”的报价要求</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本次项目报价上限为：含税价</w:t>
      </w:r>
      <w:r>
        <w:rPr>
          <w:rFonts w:hint="eastAsia" w:ascii="仿宋_GB2312" w:hAnsi="仿宋_GB2312" w:eastAsia="仿宋_GB2312" w:cs="仿宋_GB2312"/>
          <w:color w:val="auto"/>
          <w:sz w:val="32"/>
          <w:szCs w:val="32"/>
          <w:highlight w:val="none"/>
          <w:u w:val="single"/>
          <w:lang w:val="en-US" w:eastAsia="zh-CN"/>
        </w:rPr>
        <w:t>690000</w:t>
      </w:r>
      <w:r>
        <w:rPr>
          <w:rFonts w:hint="eastAsia" w:ascii="仿宋_GB2312" w:hAnsi="仿宋_GB2312" w:eastAsia="仿宋_GB2312" w:cs="仿宋_GB2312"/>
          <w:color w:val="auto"/>
          <w:sz w:val="32"/>
          <w:szCs w:val="32"/>
          <w:highlight w:val="none"/>
        </w:rPr>
        <w:t>元。其中总价包含</w:t>
      </w:r>
      <w:r>
        <w:rPr>
          <w:rFonts w:hint="eastAsia" w:ascii="仿宋_GB2312" w:hAnsi="仿宋_GB2312" w:eastAsia="仿宋_GB2312" w:cs="仿宋_GB2312"/>
          <w:color w:val="auto"/>
          <w:sz w:val="32"/>
          <w:szCs w:val="32"/>
          <w:highlight w:val="none"/>
          <w:lang w:eastAsia="zh-CN"/>
        </w:rPr>
        <w:t>现场检测、剔凿、车辆、人工及进撤场费用，</w:t>
      </w:r>
      <w:r>
        <w:rPr>
          <w:rFonts w:hint="eastAsia" w:ascii="仿宋_GB2312" w:hAnsi="仿宋_GB2312" w:eastAsia="仿宋_GB2312" w:cs="仿宋_GB2312"/>
          <w:color w:val="auto"/>
          <w:sz w:val="32"/>
          <w:szCs w:val="32"/>
          <w:highlight w:val="none"/>
        </w:rPr>
        <w:t>运输、安装、调试、培训以及与本项目有关涉及到的所有附属设施设备等全部费用。</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（六）项目评定中选标准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在满足本次谈判技术要求的前提下，最终采用综合评估法选定供应商，满分为100分，谈判小组按最终得分由高到低的顺序选定供应商，最终得分相等时，以不含增值税净价低的优先。</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（七）谈判文件递交截止时间及谈判举行时间等内容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参阅谈判邀请函。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（八）无效谈判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谈判供应商发生以下条款情况之一者，视为无效谈判，其谈判文件将被拒绝</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2、谈判供应商无主要的有效资格证明文件或超出营业范围的。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3、谈判文件不按规定的格式、内容填写或不按规定签字、盖章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4、谈判文件的应答不满足技术要求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5、谈判供应商的资质不符合谈判文件第二章第二条“供应商资格要求”要求的内容。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谈判供应商总报价高于“说明文件”报价上限的。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四、供应商编制谈判参选文件（以下简称“参选文件”）要求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（一）各供应商提交的“参选文件”由以下部分和谈判人所作的一切有效补充、修改和承诺等文件组成。它包括：</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1、报价说明书（加盖公章）、报价一览表；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shd w:val="clear" w:color="auto" w:fill="FFFFFF"/>
        </w:rPr>
        <w:t>法人代表授权委托书</w:t>
      </w:r>
      <w:r>
        <w:rPr>
          <w:rFonts w:hint="eastAsia" w:ascii="仿宋_GB2312" w:hAnsi="仿宋_GB2312" w:eastAsia="仿宋_GB2312" w:cs="仿宋_GB2312"/>
          <w:color w:val="auto"/>
          <w:sz w:val="32"/>
          <w:szCs w:val="32"/>
          <w:highlight w:val="none"/>
          <w:shd w:val="clear" w:color="auto" w:fill="FFFFFF"/>
          <w:lang w:val="en-US" w:eastAsia="zh-CN"/>
        </w:rPr>
        <w:t>及法人及其法人代表的身份证复印件</w:t>
      </w:r>
      <w:r>
        <w:rPr>
          <w:rFonts w:hint="eastAsia" w:ascii="仿宋_GB2312" w:hAnsi="仿宋_GB2312" w:eastAsia="仿宋_GB2312" w:cs="仿宋_GB2312"/>
          <w:color w:val="auto"/>
          <w:sz w:val="32"/>
          <w:szCs w:val="32"/>
          <w:highlight w:val="none"/>
          <w:shd w:val="clear" w:color="auto" w:fill="FFFFFF"/>
        </w:rPr>
        <w:t>（若法人参加则无需</w:t>
      </w:r>
      <w:r>
        <w:rPr>
          <w:rFonts w:hint="eastAsia" w:ascii="仿宋_GB2312" w:hAnsi="仿宋_GB2312" w:eastAsia="仿宋_GB2312" w:cs="仿宋_GB2312"/>
          <w:color w:val="auto"/>
          <w:sz w:val="32"/>
          <w:szCs w:val="32"/>
          <w:highlight w:val="none"/>
          <w:shd w:val="clear" w:color="auto" w:fill="FFFFFF"/>
          <w:lang w:val="en-US" w:eastAsia="zh-CN"/>
        </w:rPr>
        <w:t>提供</w:t>
      </w:r>
      <w:r>
        <w:rPr>
          <w:rFonts w:hint="eastAsia" w:ascii="仿宋_GB2312" w:hAnsi="仿宋_GB2312" w:eastAsia="仿宋_GB2312" w:cs="仿宋_GB2312"/>
          <w:color w:val="auto"/>
          <w:sz w:val="32"/>
          <w:szCs w:val="32"/>
          <w:highlight w:val="none"/>
          <w:shd w:val="clear" w:color="auto" w:fill="FFFFFF"/>
        </w:rPr>
        <w:t>授权委托书</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但须提供法人的身份证复印件</w:t>
      </w:r>
      <w:r>
        <w:rPr>
          <w:rFonts w:hint="eastAsia" w:ascii="仿宋_GB2312" w:hAnsi="仿宋_GB2312" w:eastAsia="仿宋_GB2312" w:cs="仿宋_GB2312"/>
          <w:color w:val="auto"/>
          <w:sz w:val="32"/>
          <w:szCs w:val="32"/>
          <w:highlight w:val="none"/>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3、供应商简介及</w:t>
      </w:r>
      <w:r>
        <w:rPr>
          <w:rFonts w:hint="eastAsia" w:ascii="仿宋_GB2312" w:hAnsi="仿宋_GB2312" w:eastAsia="仿宋_GB2312" w:cs="仿宋_GB2312"/>
          <w:color w:val="auto"/>
          <w:sz w:val="32"/>
          <w:szCs w:val="32"/>
          <w:highlight w:val="none"/>
          <w:lang w:val="en-US" w:eastAsia="zh-CN"/>
        </w:rPr>
        <w:t>资格</w:t>
      </w:r>
      <w:r>
        <w:rPr>
          <w:rFonts w:hint="eastAsia" w:ascii="仿宋_GB2312" w:hAnsi="仿宋_GB2312" w:eastAsia="仿宋_GB2312" w:cs="仿宋_GB2312"/>
          <w:color w:val="auto"/>
          <w:sz w:val="32"/>
          <w:szCs w:val="32"/>
          <w:highlight w:val="none"/>
        </w:rPr>
        <w:t>证明文件，逐项列出（第二章 谈判须知 二、供应商资格要求）各项目的响应情况；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4、供应商承诺函（含售后服务响应情况等相关内容）；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5、技术文件（逐项列出《第三章 内容及技术要求》各项目的响应情况）；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（二）“参选文件”的制作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1、谈判供应商必须按以上参选文件构成内容及顺序编制“参选文件”，并编制目录装订成册。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2、“参选文件”的份数</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参选文件共3份，其中“正本”1份，“副本”2份。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3、“参选文件”的签署</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4、“参选文件”的密封</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参选文件不按规定的格式、内容填写或谈判文件与采购项目实质性要求有严重背离的，视为不具备谈判资格。</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五、结算方式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6"/>
        <w:gridCol w:w="4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000000"/>
                <w:sz w:val="32"/>
                <w:szCs w:val="32"/>
                <w:highlight w:val="none"/>
                <w:vertAlign w:val="baseline"/>
                <w:lang w:val="en-US" w:eastAsia="zh-CN"/>
              </w:rPr>
            </w:pPr>
            <w:r>
              <w:rPr>
                <w:rFonts w:hint="eastAsia" w:ascii="仿宋_GB2312" w:hAnsi="仿宋_GB2312" w:eastAsia="仿宋_GB2312" w:cs="仿宋_GB2312"/>
                <w:b/>
                <w:bCs/>
                <w:color w:val="000000"/>
                <w:sz w:val="32"/>
                <w:szCs w:val="32"/>
                <w:highlight w:val="none"/>
                <w:vertAlign w:val="baseline"/>
                <w:lang w:val="en-US" w:eastAsia="zh-CN"/>
              </w:rPr>
              <w:t>付款节点</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000000"/>
                <w:sz w:val="32"/>
                <w:szCs w:val="32"/>
                <w:highlight w:val="none"/>
                <w:vertAlign w:val="baseline"/>
                <w:lang w:val="en-US" w:eastAsia="zh-CN"/>
              </w:rPr>
            </w:pPr>
            <w:r>
              <w:rPr>
                <w:rFonts w:hint="eastAsia" w:ascii="仿宋_GB2312" w:hAnsi="仿宋_GB2312" w:eastAsia="仿宋_GB2312" w:cs="仿宋_GB2312"/>
                <w:b/>
                <w:bCs/>
                <w:color w:val="000000"/>
                <w:sz w:val="32"/>
                <w:szCs w:val="32"/>
                <w:highlight w:val="none"/>
                <w:vertAlign w:val="baseline"/>
                <w:lang w:val="en-US" w:eastAsia="zh-CN"/>
              </w:rPr>
              <w:t>付款金额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000000"/>
                <w:sz w:val="32"/>
                <w:szCs w:val="32"/>
                <w:highlight w:val="none"/>
                <w:vertAlign w:val="baseline"/>
                <w:lang w:eastAsia="zh-CN"/>
              </w:rPr>
            </w:pPr>
            <w:r>
              <w:rPr>
                <w:rFonts w:hint="eastAsia" w:ascii="仿宋_GB2312" w:hAnsi="仿宋_GB2312" w:eastAsia="仿宋_GB2312" w:cs="仿宋_GB2312"/>
                <w:color w:val="000000"/>
                <w:sz w:val="32"/>
                <w:szCs w:val="32"/>
                <w:highlight w:val="none"/>
                <w:vertAlign w:val="baseline"/>
              </w:rPr>
              <w:t>完成建筑物</w:t>
            </w:r>
            <w:r>
              <w:rPr>
                <w:rFonts w:hint="eastAsia" w:ascii="仿宋_GB2312" w:hAnsi="仿宋_GB2312" w:eastAsia="仿宋_GB2312" w:cs="仿宋_GB2312"/>
                <w:color w:val="000000"/>
                <w:sz w:val="32"/>
                <w:szCs w:val="32"/>
                <w:highlight w:val="none"/>
                <w:vertAlign w:val="baseline"/>
                <w:lang w:val="en-US" w:eastAsia="zh-CN"/>
              </w:rPr>
              <w:t>检测</w:t>
            </w:r>
            <w:r>
              <w:rPr>
                <w:rFonts w:hint="eastAsia" w:ascii="仿宋_GB2312" w:hAnsi="仿宋_GB2312" w:eastAsia="仿宋_GB2312" w:cs="仿宋_GB2312"/>
                <w:color w:val="000000"/>
                <w:sz w:val="32"/>
                <w:szCs w:val="32"/>
                <w:highlight w:val="none"/>
                <w:vertAlign w:val="baseline"/>
              </w:rPr>
              <w:t>工作并出具合格的</w:t>
            </w:r>
            <w:r>
              <w:rPr>
                <w:rFonts w:hint="eastAsia" w:ascii="仿宋_GB2312" w:hAnsi="仿宋_GB2312" w:eastAsia="仿宋_GB2312" w:cs="仿宋_GB2312"/>
                <w:color w:val="000000"/>
                <w:sz w:val="32"/>
                <w:szCs w:val="32"/>
                <w:highlight w:val="none"/>
                <w:vertAlign w:val="baseline"/>
                <w:lang w:val="en-US" w:eastAsia="zh-CN"/>
              </w:rPr>
              <w:t>检测报告</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000000"/>
                <w:sz w:val="32"/>
                <w:szCs w:val="32"/>
                <w:highlight w:val="none"/>
                <w:vertAlign w:val="baseline"/>
                <w:lang w:val="en-US" w:eastAsia="zh-CN"/>
              </w:rPr>
            </w:pPr>
            <w:r>
              <w:rPr>
                <w:rFonts w:hint="eastAsia" w:ascii="仿宋_GB2312" w:hAnsi="仿宋_GB2312" w:eastAsia="仿宋_GB2312" w:cs="仿宋_GB2312"/>
                <w:color w:val="000000"/>
                <w:sz w:val="32"/>
                <w:szCs w:val="32"/>
                <w:highlight w:val="none"/>
                <w:vertAlign w:val="baseline"/>
                <w:lang w:val="en-US" w:eastAsia="zh-CN"/>
              </w:rPr>
              <w:t>合同签订金额60%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default" w:ascii="仿宋_GB2312" w:hAnsi="仿宋_GB2312" w:eastAsia="仿宋_GB2312" w:cs="仿宋_GB2312"/>
                <w:color w:val="000000"/>
                <w:sz w:val="32"/>
                <w:szCs w:val="32"/>
                <w:highlight w:val="none"/>
                <w:vertAlign w:val="baseline"/>
                <w:lang w:val="en-US" w:eastAsia="zh-CN"/>
              </w:rPr>
            </w:pPr>
            <w:r>
              <w:rPr>
                <w:rFonts w:hint="eastAsia" w:ascii="仿宋_GB2312" w:hAnsi="仿宋_GB2312" w:eastAsia="仿宋_GB2312" w:cs="仿宋_GB2312"/>
                <w:color w:val="000000"/>
                <w:sz w:val="32"/>
                <w:szCs w:val="32"/>
                <w:highlight w:val="none"/>
                <w:vertAlign w:val="baseline"/>
                <w:lang w:val="en-US" w:eastAsia="zh-CN"/>
              </w:rPr>
              <w:t>取得地方主管部门出具的认定意见</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000000"/>
                <w:sz w:val="32"/>
                <w:szCs w:val="32"/>
                <w:highlight w:val="none"/>
                <w:vertAlign w:val="baseline"/>
              </w:rPr>
            </w:pPr>
            <w:r>
              <w:rPr>
                <w:rFonts w:hint="eastAsia" w:ascii="仿宋_GB2312" w:hAnsi="仿宋_GB2312" w:eastAsia="仿宋_GB2312" w:cs="仿宋_GB2312"/>
                <w:color w:val="000000"/>
                <w:sz w:val="32"/>
                <w:szCs w:val="32"/>
                <w:highlight w:val="none"/>
                <w:vertAlign w:val="baseline"/>
              </w:rPr>
              <w:t>合同签订金额</w:t>
            </w:r>
            <w:r>
              <w:rPr>
                <w:rFonts w:hint="eastAsia" w:ascii="仿宋_GB2312" w:hAnsi="仿宋_GB2312" w:eastAsia="仿宋_GB2312" w:cs="仿宋_GB2312"/>
                <w:color w:val="000000"/>
                <w:sz w:val="32"/>
                <w:szCs w:val="32"/>
                <w:highlight w:val="none"/>
                <w:vertAlign w:val="baseline"/>
                <w:lang w:val="en-US" w:eastAsia="zh-CN"/>
              </w:rPr>
              <w:t>4</w:t>
            </w:r>
            <w:r>
              <w:rPr>
                <w:rFonts w:hint="eastAsia" w:ascii="仿宋_GB2312" w:hAnsi="仿宋_GB2312" w:eastAsia="仿宋_GB2312" w:cs="仿宋_GB2312"/>
                <w:color w:val="000000"/>
                <w:sz w:val="32"/>
                <w:szCs w:val="32"/>
                <w:highlight w:val="none"/>
                <w:vertAlign w:val="baseline"/>
              </w:rPr>
              <w:t>0%</w:t>
            </w:r>
          </w:p>
        </w:tc>
      </w:tr>
    </w:tbl>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六、谈判流程</w:t>
      </w:r>
    </w:p>
    <w:p>
      <w:pPr>
        <w:keepNext w:val="0"/>
        <w:keepLines w:val="0"/>
        <w:pageBreakBefore w:val="0"/>
        <w:widowControl/>
        <w:shd w:val="clear" w:color="auto" w:fill="FFFFFF"/>
        <w:tabs>
          <w:tab w:val="left" w:pos="630"/>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（一）谈判在规定的时间和地点举行，参加谈判的供应商授权代表在《谈判签到表》上签字报到，以证明其出席谈判会议。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（二）参加谈判的供应商应将所有资料（</w:t>
      </w:r>
      <w:r>
        <w:rPr>
          <w:rFonts w:hint="eastAsia" w:ascii="仿宋_GB2312" w:hAnsi="仿宋_GB2312" w:eastAsia="仿宋_GB2312" w:cs="仿宋_GB2312"/>
          <w:color w:val="auto"/>
          <w:kern w:val="0"/>
          <w:sz w:val="32"/>
          <w:szCs w:val="32"/>
          <w:highlight w:val="none"/>
        </w:rPr>
        <w:t>谈判参选文件</w:t>
      </w:r>
      <w:r>
        <w:rPr>
          <w:rFonts w:hint="eastAsia" w:ascii="仿宋_GB2312" w:hAnsi="仿宋_GB2312" w:eastAsia="仿宋_GB2312" w:cs="仿宋_GB2312"/>
          <w:color w:val="auto"/>
          <w:sz w:val="32"/>
          <w:szCs w:val="32"/>
          <w:highlight w:val="none"/>
        </w:rPr>
        <w:t>）密封完好加盖公章交至谈判会。由责任单位组织谈判小组与参选供应商现场确认谈判文件的密封情况，并签署《谈判文件密封情况确认表》。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（三）在</w:t>
      </w:r>
      <w:r>
        <w:rPr>
          <w:rFonts w:hint="eastAsia" w:ascii="仿宋_GB2312" w:hAnsi="仿宋_GB2312" w:eastAsia="仿宋_GB2312" w:cs="仿宋_GB2312"/>
          <w:color w:val="auto"/>
          <w:sz w:val="32"/>
          <w:szCs w:val="32"/>
          <w:highlight w:val="none"/>
          <w:lang w:val="en-US" w:eastAsia="zh-CN"/>
        </w:rPr>
        <w:t>监督</w:t>
      </w:r>
      <w:r>
        <w:rPr>
          <w:rFonts w:hint="eastAsia" w:ascii="仿宋_GB2312" w:hAnsi="仿宋_GB2312" w:eastAsia="仿宋_GB2312" w:cs="仿宋_GB2312"/>
          <w:color w:val="auto"/>
          <w:sz w:val="32"/>
          <w:szCs w:val="32"/>
          <w:highlight w:val="none"/>
        </w:rPr>
        <w:t>人员的监督下，由责任单位组织谈判小组与参选供应商现场公开开启报价说明书，并填写《谈判文件公开开启登记表》。</w:t>
      </w:r>
    </w:p>
    <w:p>
      <w:pPr>
        <w:pStyle w:val="1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（四）由责任单位组织谈判小组对参选供应商的资质及授权情况进行审查，对供应商谈判参选文件的技术要求情况进行审查；随后单独逐个对参选供应商就二次报价情况进行确认，填写《谈判记录表》。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（五）最终通过评选后，按照项目评定中选标准评选最佳供应商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填写《谈判会审表》。</w:t>
      </w:r>
    </w:p>
    <w:p>
      <w:pPr>
        <w:spacing w:line="560" w:lineRule="exact"/>
        <w:ind w:firstLine="560" w:firstLineChars="200"/>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lang w:val="en-US" w:eastAsia="zh-CN"/>
        </w:rPr>
        <w:t>七</w:t>
      </w:r>
      <w:r>
        <w:rPr>
          <w:rFonts w:hint="eastAsia" w:ascii="黑体" w:hAnsi="黑体" w:eastAsia="黑体" w:cs="黑体"/>
          <w:color w:val="auto"/>
          <w:spacing w:val="-20"/>
          <w:sz w:val="32"/>
          <w:szCs w:val="32"/>
          <w:highlight w:val="none"/>
        </w:rPr>
        <w:t>、评分办法</w:t>
      </w:r>
    </w:p>
    <w:p>
      <w:pPr>
        <w:spacing w:line="560" w:lineRule="exact"/>
        <w:ind w:firstLine="560" w:firstLineChars="200"/>
        <w:rPr>
          <w:rFonts w:hint="eastAsia"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（一）分值分配表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510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报价得分</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技术得分</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商务得分</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30分</w:t>
            </w:r>
          </w:p>
        </w:tc>
      </w:tr>
    </w:tbl>
    <w:p>
      <w:pPr>
        <w:spacing w:line="560" w:lineRule="exact"/>
        <w:ind w:firstLine="560" w:firstLineChars="200"/>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（二）</w:t>
      </w:r>
      <w:r>
        <w:rPr>
          <w:rFonts w:hint="eastAsia" w:ascii="仿宋_GB2312" w:eastAsia="仿宋_GB2312"/>
          <w:color w:val="auto"/>
          <w:spacing w:val="-20"/>
          <w:sz w:val="32"/>
          <w:szCs w:val="32"/>
          <w:highlight w:val="none"/>
          <w:lang w:val="en-US" w:eastAsia="zh-CN"/>
        </w:rPr>
        <w:t>谈判</w:t>
      </w:r>
      <w:r>
        <w:rPr>
          <w:rFonts w:hint="eastAsia" w:ascii="仿宋_GB2312" w:eastAsia="仿宋_GB2312"/>
          <w:color w:val="auto"/>
          <w:spacing w:val="-20"/>
          <w:sz w:val="32"/>
          <w:szCs w:val="32"/>
          <w:highlight w:val="none"/>
        </w:rPr>
        <w:t>计分标准</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1.报价得分（满分30分）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3"/>
        <w:gridCol w:w="7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w:t>
            </w:r>
          </w:p>
        </w:tc>
        <w:tc>
          <w:tcPr>
            <w:tcW w:w="7809"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报价</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得分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（满分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30分）</w:t>
            </w:r>
          </w:p>
        </w:tc>
        <w:tc>
          <w:tcPr>
            <w:tcW w:w="7809"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1.评分基准价</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(1) 如有效参与人少于5家</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含5家</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 xml:space="preserve"> 时，以全部有效报价的算术平均值作为评分基准价</w:t>
            </w:r>
            <w:r>
              <w:rPr>
                <w:rFonts w:hint="eastAsia" w:ascii="仿宋_GB2312" w:hAnsi="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 xml:space="preserve">(2) 如有效参与人大于5 家小于7家 </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含7家</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 xml:space="preserve"> 时，去掉一个最高报价去掉一个最低报价，取其余报价的算术平均值作为评分基准价</w:t>
            </w:r>
            <w:r>
              <w:rPr>
                <w:rFonts w:hint="eastAsia" w:ascii="仿宋_GB2312" w:hAnsi="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(3) 如有效参与人大于7家时，去掉两个最高报价，去掉两个最低报价，取其余报价的算术平均值作为评分基准价</w:t>
            </w:r>
            <w:r>
              <w:rPr>
                <w:rFonts w:hint="eastAsia" w:ascii="仿宋_GB2312" w:hAnsi="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（4）有效参与人指通过初步评审的参与单位。</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2.有效的报价等于评分基准价得 30分，每比评分基准价高1%扣</w:t>
            </w:r>
            <w:r>
              <w:rPr>
                <w:rFonts w:hint="eastAsia" w:ascii="仿宋_GB2312" w:hAnsi="仿宋_GB2312" w:cs="仿宋_GB2312"/>
                <w:color w:val="auto"/>
                <w:highlight w:val="none"/>
                <w:vertAlign w:val="baseline"/>
                <w:lang w:val="en-US" w:eastAsia="zh-CN"/>
              </w:rPr>
              <w:t>1</w:t>
            </w:r>
            <w:r>
              <w:rPr>
                <w:rFonts w:hint="eastAsia" w:ascii="仿宋_GB2312" w:hAnsi="仿宋_GB2312" w:eastAsia="仿宋_GB2312" w:cs="仿宋_GB2312"/>
                <w:color w:val="auto"/>
                <w:highlight w:val="none"/>
                <w:vertAlign w:val="baseline"/>
                <w:lang w:val="en-US" w:eastAsia="zh-CN"/>
              </w:rPr>
              <w:t>分，每比评分基准价低 1%扣</w:t>
            </w:r>
            <w:r>
              <w:rPr>
                <w:rFonts w:hint="eastAsia" w:ascii="仿宋_GB2312" w:hAnsi="仿宋_GB2312" w:cs="仿宋_GB2312"/>
                <w:color w:val="auto"/>
                <w:highlight w:val="none"/>
                <w:vertAlign w:val="baseline"/>
                <w:lang w:val="en-US" w:eastAsia="zh-CN"/>
              </w:rPr>
              <w:t>0.5</w:t>
            </w:r>
            <w:r>
              <w:rPr>
                <w:rFonts w:hint="eastAsia" w:ascii="仿宋_GB2312" w:hAnsi="仿宋_GB2312" w:eastAsia="仿宋_GB2312" w:cs="仿宋_GB2312"/>
                <w:color w:val="auto"/>
                <w:highlight w:val="none"/>
                <w:vertAlign w:val="baseline"/>
                <w:lang w:val="en-US" w:eastAsia="zh-CN"/>
              </w:rPr>
              <w:t>分</w:t>
            </w:r>
          </w:p>
        </w:tc>
      </w:tr>
    </w:tbl>
    <w:p>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2.技术得分（满分40分）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7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w:t>
            </w:r>
          </w:p>
        </w:tc>
        <w:tc>
          <w:tcPr>
            <w:tcW w:w="782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项目团队配置（满分10分）</w:t>
            </w:r>
          </w:p>
        </w:tc>
        <w:tc>
          <w:tcPr>
            <w:tcW w:w="782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项目团队配置合理，各专业人员配备齐全，得</w:t>
            </w:r>
            <w:r>
              <w:rPr>
                <w:rFonts w:hint="eastAsia" w:ascii="仿宋_GB2312" w:hAnsi="仿宋_GB2312" w:cs="仿宋_GB2312"/>
                <w:color w:val="auto"/>
                <w:highlight w:val="none"/>
                <w:vertAlign w:val="baseline"/>
                <w:lang w:val="en-US" w:eastAsia="zh-CN"/>
              </w:rPr>
              <w:t>7.01—</w:t>
            </w:r>
            <w:r>
              <w:rPr>
                <w:rFonts w:hint="eastAsia" w:ascii="仿宋_GB2312" w:hAnsi="仿宋_GB2312" w:eastAsia="仿宋_GB2312" w:cs="仿宋_GB2312"/>
                <w:color w:val="auto"/>
                <w:highlight w:val="none"/>
                <w:vertAlign w:val="baseline"/>
                <w:lang w:val="en-US" w:eastAsia="zh-CN"/>
              </w:rPr>
              <w:t>10分；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项目团队配置基本合理，各专业人员配备较为齐全，得</w:t>
            </w:r>
            <w:r>
              <w:rPr>
                <w:rFonts w:hint="eastAsia" w:ascii="仿宋_GB2312" w:hAnsi="仿宋_GB2312" w:cs="仿宋_GB2312"/>
                <w:color w:val="auto"/>
                <w:highlight w:val="none"/>
                <w:vertAlign w:val="baseline"/>
                <w:lang w:val="en-US" w:eastAsia="zh-CN"/>
              </w:rPr>
              <w:t>3.01—</w:t>
            </w:r>
            <w:r>
              <w:rPr>
                <w:rFonts w:hint="eastAsia" w:ascii="仿宋_GB2312" w:hAnsi="仿宋_GB2312" w:eastAsia="仿宋_GB2312" w:cs="仿宋_GB2312"/>
                <w:color w:val="auto"/>
                <w:highlight w:val="none"/>
                <w:vertAlign w:val="baseline"/>
                <w:lang w:val="en-US" w:eastAsia="zh-CN"/>
              </w:rPr>
              <w:t>7分；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项目团队配置一般，各专业人员配备基本齐全，得</w:t>
            </w:r>
            <w:r>
              <w:rPr>
                <w:rFonts w:hint="eastAsia" w:ascii="仿宋_GB2312" w:hAnsi="仿宋_GB2312" w:cs="仿宋_GB2312"/>
                <w:color w:val="auto"/>
                <w:highlight w:val="none"/>
                <w:vertAlign w:val="baseline"/>
                <w:lang w:val="en-US" w:eastAsia="zh-CN"/>
              </w:rPr>
              <w:t>0—3</w:t>
            </w:r>
            <w:r>
              <w:rPr>
                <w:rFonts w:hint="eastAsia" w:ascii="仿宋_GB2312" w:hAnsi="仿宋_GB2312" w:eastAsia="仿宋_GB2312" w:cs="仿宋_GB2312"/>
                <w:color w:val="auto"/>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人员素质（满分</w:t>
            </w:r>
            <w:r>
              <w:rPr>
                <w:rFonts w:hint="eastAsia" w:ascii="仿宋_GB2312" w:hAnsi="仿宋_GB2312" w:cs="仿宋_GB2312"/>
                <w:color w:val="auto"/>
                <w:highlight w:val="none"/>
                <w:vertAlign w:val="baseline"/>
                <w:lang w:val="en-US" w:eastAsia="zh-CN"/>
              </w:rPr>
              <w:t>5</w:t>
            </w:r>
            <w:r>
              <w:rPr>
                <w:rFonts w:hint="eastAsia" w:ascii="仿宋_GB2312" w:hAnsi="仿宋_GB2312" w:eastAsia="仿宋_GB2312" w:cs="仿宋_GB2312"/>
                <w:color w:val="auto"/>
                <w:highlight w:val="none"/>
                <w:vertAlign w:val="baseline"/>
                <w:lang w:val="en-US" w:eastAsia="zh-CN"/>
              </w:rPr>
              <w:t>分）</w:t>
            </w:r>
          </w:p>
        </w:tc>
        <w:tc>
          <w:tcPr>
            <w:tcW w:w="782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负责人具备</w:t>
            </w:r>
            <w:r>
              <w:rPr>
                <w:rFonts w:hint="eastAsia" w:ascii="仿宋_GB2312" w:hAnsi="仿宋_GB2312" w:cs="仿宋_GB2312"/>
                <w:color w:val="auto"/>
                <w:highlight w:val="none"/>
                <w:vertAlign w:val="baseline"/>
                <w:lang w:val="en-US" w:eastAsia="zh-CN"/>
              </w:rPr>
              <w:t>一级注册结构工程师</w:t>
            </w:r>
            <w:r>
              <w:rPr>
                <w:rFonts w:hint="eastAsia" w:ascii="仿宋_GB2312" w:hAnsi="仿宋_GB2312" w:eastAsia="仿宋_GB2312" w:cs="仿宋_GB2312"/>
                <w:color w:val="auto"/>
                <w:highlight w:val="none"/>
                <w:vertAlign w:val="baseline"/>
                <w:lang w:val="en-US" w:eastAsia="zh-CN"/>
              </w:rPr>
              <w:t>，</w:t>
            </w:r>
            <w:r>
              <w:rPr>
                <w:rFonts w:hint="eastAsia" w:ascii="仿宋_GB2312" w:hAnsi="仿宋_GB2312" w:cs="仿宋_GB2312"/>
                <w:color w:val="auto"/>
                <w:highlight w:val="none"/>
                <w:vertAlign w:val="baseline"/>
                <w:lang w:val="en-US" w:eastAsia="zh-CN"/>
              </w:rPr>
              <w:t>高级专业职称，</w:t>
            </w:r>
            <w:r>
              <w:rPr>
                <w:rFonts w:hint="eastAsia" w:ascii="仿宋_GB2312" w:hAnsi="仿宋_GB2312" w:eastAsia="仿宋_GB2312" w:cs="仿宋_GB2312"/>
                <w:color w:val="auto"/>
                <w:highlight w:val="none"/>
                <w:vertAlign w:val="baseline"/>
                <w:lang w:val="en-US" w:eastAsia="zh-CN"/>
              </w:rPr>
              <w:t>部分工作人员具备相关职业证书，得</w:t>
            </w:r>
            <w:r>
              <w:rPr>
                <w:rFonts w:hint="eastAsia" w:ascii="仿宋_GB2312" w:hAnsi="仿宋_GB2312" w:cs="仿宋_GB2312"/>
                <w:color w:val="auto"/>
                <w:highlight w:val="none"/>
                <w:vertAlign w:val="baseline"/>
                <w:lang w:val="en-US" w:eastAsia="zh-CN"/>
              </w:rPr>
              <w:t>5分；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负责人具备</w:t>
            </w:r>
            <w:r>
              <w:rPr>
                <w:rFonts w:hint="eastAsia" w:ascii="仿宋_GB2312" w:hAnsi="仿宋_GB2312" w:cs="仿宋_GB2312"/>
                <w:color w:val="auto"/>
                <w:highlight w:val="none"/>
                <w:vertAlign w:val="baseline"/>
                <w:lang w:val="en-US" w:eastAsia="zh-CN"/>
              </w:rPr>
              <w:t>二级注册结构工程师，</w:t>
            </w:r>
            <w:r>
              <w:rPr>
                <w:rFonts w:hint="eastAsia" w:ascii="仿宋_GB2312" w:hAnsi="仿宋_GB2312" w:eastAsia="仿宋_GB2312" w:cs="仿宋_GB2312"/>
                <w:color w:val="auto"/>
                <w:highlight w:val="none"/>
                <w:vertAlign w:val="baseline"/>
                <w:lang w:val="en-US" w:eastAsia="zh-CN"/>
              </w:rPr>
              <w:t>中级专业职称，部分工作人员具备相关职业证书，得</w:t>
            </w:r>
            <w:r>
              <w:rPr>
                <w:rFonts w:hint="eastAsia" w:ascii="仿宋_GB2312" w:hAnsi="仿宋_GB2312" w:cs="仿宋_GB2312"/>
                <w:color w:val="auto"/>
                <w:highlight w:val="none"/>
                <w:vertAlign w:val="baseline"/>
                <w:lang w:val="en-US" w:eastAsia="zh-CN"/>
              </w:rPr>
              <w:t>3分；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负责人具备中级以下专业职称，得</w:t>
            </w:r>
            <w:r>
              <w:rPr>
                <w:rFonts w:hint="eastAsia" w:ascii="仿宋_GB2312" w:hAnsi="仿宋_GB2312" w:cs="仿宋_GB2312"/>
                <w:color w:val="auto"/>
                <w:highlight w:val="none"/>
                <w:vertAlign w:val="baseline"/>
                <w:lang w:val="en-US" w:eastAsia="zh-CN"/>
              </w:rPr>
              <w:t>1分</w:t>
            </w:r>
            <w:r>
              <w:rPr>
                <w:rFonts w:hint="eastAsia" w:ascii="仿宋_GB2312" w:hAnsi="仿宋_GB2312" w:eastAsia="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提供可证明人员劳动关系的合同、</w:t>
            </w:r>
            <w:r>
              <w:rPr>
                <w:rFonts w:hint="eastAsia" w:ascii="仿宋_GB2312" w:hAnsi="仿宋_GB2312" w:cs="仿宋_GB2312"/>
                <w:color w:val="auto"/>
                <w:highlight w:val="none"/>
                <w:vertAlign w:val="baseline"/>
                <w:lang w:val="en-US" w:eastAsia="zh-CN"/>
              </w:rPr>
              <w:t>相关证书、职称证</w:t>
            </w:r>
            <w:r>
              <w:rPr>
                <w:rFonts w:hint="eastAsia" w:ascii="仿宋_GB2312" w:hAnsi="仿宋_GB2312" w:eastAsia="仿宋_GB2312" w:cs="仿宋_GB2312"/>
                <w:color w:val="auto"/>
                <w:highlight w:val="none"/>
                <w:vertAlign w:val="baseline"/>
                <w:lang w:val="en-US" w:eastAsia="zh-CN"/>
              </w:rPr>
              <w:t>、保险缴纳证明等材料</w:t>
            </w:r>
            <w:r>
              <w:rPr>
                <w:rFonts w:hint="eastAsia" w:ascii="仿宋_GB2312" w:hAnsi="仿宋_GB2312" w:cs="仿宋_GB2312"/>
                <w:color w:val="auto"/>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人员工作经历（满分1</w:t>
            </w:r>
            <w:r>
              <w:rPr>
                <w:rFonts w:hint="eastAsia" w:ascii="仿宋_GB2312" w:hAnsi="仿宋_GB2312" w:cs="仿宋_GB2312"/>
                <w:color w:val="auto"/>
                <w:highlight w:val="none"/>
                <w:vertAlign w:val="baseline"/>
                <w:lang w:val="en-US" w:eastAsia="zh-CN"/>
              </w:rPr>
              <w:t>0</w:t>
            </w:r>
            <w:r>
              <w:rPr>
                <w:rFonts w:hint="eastAsia" w:ascii="仿宋_GB2312" w:hAnsi="仿宋_GB2312" w:eastAsia="仿宋_GB2312" w:cs="仿宋_GB2312"/>
                <w:color w:val="auto"/>
                <w:highlight w:val="none"/>
                <w:vertAlign w:val="baseline"/>
                <w:lang w:val="en-US" w:eastAsia="zh-CN"/>
              </w:rPr>
              <w:t>分）</w:t>
            </w:r>
          </w:p>
        </w:tc>
        <w:tc>
          <w:tcPr>
            <w:tcW w:w="782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负责人具有</w:t>
            </w:r>
            <w:r>
              <w:rPr>
                <w:rFonts w:hint="eastAsia" w:ascii="仿宋_GB2312" w:hAnsi="仿宋_GB2312" w:cs="仿宋_GB2312"/>
                <w:color w:val="auto"/>
                <w:highlight w:val="none"/>
                <w:vertAlign w:val="baseline"/>
                <w:lang w:val="en-US" w:eastAsia="zh-CN"/>
              </w:rPr>
              <w:t>单项合同</w:t>
            </w:r>
            <w:r>
              <w:rPr>
                <w:rFonts w:hint="eastAsia" w:ascii="仿宋_GB2312" w:hAnsi="仿宋_GB2312" w:eastAsia="仿宋_GB2312" w:cs="仿宋_GB2312"/>
                <w:color w:val="auto"/>
                <w:highlight w:val="none"/>
                <w:vertAlign w:val="baseline"/>
                <w:lang w:val="en-US" w:eastAsia="zh-CN"/>
              </w:rPr>
              <w:t>建筑面积</w:t>
            </w:r>
            <w:r>
              <w:rPr>
                <w:rFonts w:hint="eastAsia" w:ascii="仿宋_GB2312" w:hAnsi="仿宋_GB2312" w:cs="仿宋_GB2312"/>
                <w:color w:val="auto"/>
                <w:highlight w:val="none"/>
                <w:vertAlign w:val="baseline"/>
                <w:lang w:val="en-US" w:eastAsia="zh-CN"/>
              </w:rPr>
              <w:t>30</w:t>
            </w:r>
            <w:r>
              <w:rPr>
                <w:rFonts w:hint="eastAsia" w:ascii="仿宋_GB2312" w:hAnsi="仿宋_GB2312" w:eastAsia="仿宋_GB2312" w:cs="仿宋_GB2312"/>
                <w:color w:val="auto"/>
                <w:highlight w:val="none"/>
                <w:vertAlign w:val="baseline"/>
                <w:lang w:val="en-US" w:eastAsia="zh-CN"/>
              </w:rPr>
              <w:t>万平方米以上</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业绩的，得</w:t>
            </w:r>
            <w:r>
              <w:rPr>
                <w:rFonts w:hint="eastAsia" w:ascii="仿宋_GB2312" w:hAnsi="仿宋_GB2312" w:cs="仿宋_GB2312"/>
                <w:color w:val="auto"/>
                <w:highlight w:val="none"/>
                <w:vertAlign w:val="baseline"/>
                <w:lang w:val="en-US" w:eastAsia="zh-CN"/>
              </w:rPr>
              <w:t>10分；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负责人具有</w:t>
            </w:r>
            <w:r>
              <w:rPr>
                <w:rFonts w:hint="eastAsia" w:ascii="仿宋_GB2312" w:hAnsi="仿宋_GB2312" w:cs="仿宋_GB2312"/>
                <w:color w:val="auto"/>
                <w:highlight w:val="none"/>
                <w:vertAlign w:val="baseline"/>
                <w:lang w:val="en-US" w:eastAsia="zh-CN"/>
              </w:rPr>
              <w:t>单项合同</w:t>
            </w:r>
            <w:r>
              <w:rPr>
                <w:rFonts w:hint="eastAsia" w:ascii="仿宋_GB2312" w:hAnsi="仿宋_GB2312" w:eastAsia="仿宋_GB2312" w:cs="仿宋_GB2312"/>
                <w:color w:val="auto"/>
                <w:highlight w:val="none"/>
                <w:vertAlign w:val="baseline"/>
                <w:lang w:val="en-US" w:eastAsia="zh-CN"/>
              </w:rPr>
              <w:t>建筑面积</w:t>
            </w:r>
            <w:r>
              <w:rPr>
                <w:rFonts w:hint="eastAsia" w:ascii="仿宋_GB2312" w:hAnsi="仿宋_GB2312" w:cs="仿宋_GB2312"/>
                <w:color w:val="auto"/>
                <w:highlight w:val="none"/>
                <w:vertAlign w:val="baseline"/>
                <w:lang w:val="en-US" w:eastAsia="zh-CN"/>
              </w:rPr>
              <w:t>20</w:t>
            </w:r>
            <w:r>
              <w:rPr>
                <w:rFonts w:hint="eastAsia" w:ascii="仿宋_GB2312" w:hAnsi="仿宋_GB2312" w:eastAsia="仿宋_GB2312" w:cs="仿宋_GB2312"/>
                <w:color w:val="auto"/>
                <w:highlight w:val="none"/>
                <w:vertAlign w:val="baseline"/>
                <w:lang w:val="en-US" w:eastAsia="zh-CN"/>
              </w:rPr>
              <w:t>万平方以上</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业绩的，得</w:t>
            </w:r>
            <w:r>
              <w:rPr>
                <w:rFonts w:hint="eastAsia" w:ascii="仿宋_GB2312" w:hAnsi="仿宋_GB2312" w:cs="仿宋_GB2312"/>
                <w:color w:val="auto"/>
                <w:highlight w:val="none"/>
                <w:vertAlign w:val="baseline"/>
                <w:lang w:val="en-US" w:eastAsia="zh-CN"/>
              </w:rPr>
              <w:t>5分；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负责人具有</w:t>
            </w:r>
            <w:r>
              <w:rPr>
                <w:rFonts w:hint="eastAsia" w:ascii="仿宋_GB2312" w:hAnsi="仿宋_GB2312" w:cs="仿宋_GB2312"/>
                <w:color w:val="auto"/>
                <w:highlight w:val="none"/>
                <w:vertAlign w:val="baseline"/>
                <w:lang w:val="en-US" w:eastAsia="zh-CN"/>
              </w:rPr>
              <w:t>单项合同</w:t>
            </w:r>
            <w:r>
              <w:rPr>
                <w:rFonts w:hint="eastAsia" w:ascii="仿宋_GB2312" w:hAnsi="仿宋_GB2312" w:eastAsia="仿宋_GB2312" w:cs="仿宋_GB2312"/>
                <w:color w:val="auto"/>
                <w:highlight w:val="none"/>
                <w:vertAlign w:val="baseline"/>
                <w:lang w:val="en-US" w:eastAsia="zh-CN"/>
              </w:rPr>
              <w:t>建筑面积</w:t>
            </w:r>
            <w:r>
              <w:rPr>
                <w:rFonts w:hint="eastAsia" w:ascii="仿宋_GB2312" w:hAnsi="仿宋_GB2312" w:cs="仿宋_GB2312"/>
                <w:color w:val="auto"/>
                <w:highlight w:val="none"/>
                <w:vertAlign w:val="baseline"/>
                <w:lang w:val="en-US" w:eastAsia="zh-CN"/>
              </w:rPr>
              <w:t>10</w:t>
            </w:r>
            <w:r>
              <w:rPr>
                <w:rFonts w:hint="eastAsia" w:ascii="仿宋_GB2312" w:hAnsi="仿宋_GB2312" w:eastAsia="仿宋_GB2312" w:cs="仿宋_GB2312"/>
                <w:color w:val="auto"/>
                <w:highlight w:val="none"/>
                <w:vertAlign w:val="baseline"/>
                <w:lang w:val="en-US" w:eastAsia="zh-CN"/>
              </w:rPr>
              <w:t>万平方米以上</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业绩的，得</w:t>
            </w:r>
            <w:r>
              <w:rPr>
                <w:rFonts w:hint="eastAsia" w:ascii="仿宋_GB2312" w:hAnsi="仿宋_GB2312" w:cs="仿宋_GB2312"/>
                <w:color w:val="auto"/>
                <w:highlight w:val="none"/>
                <w:vertAlign w:val="baseline"/>
                <w:lang w:val="en-US" w:eastAsia="zh-CN"/>
              </w:rPr>
              <w:t>3分；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负责人具有</w:t>
            </w:r>
            <w:r>
              <w:rPr>
                <w:rFonts w:hint="eastAsia" w:ascii="仿宋_GB2312" w:hAnsi="仿宋_GB2312" w:cs="仿宋_GB2312"/>
                <w:color w:val="auto"/>
                <w:highlight w:val="none"/>
                <w:vertAlign w:val="baseline"/>
                <w:lang w:val="en-US" w:eastAsia="zh-CN"/>
              </w:rPr>
              <w:t>单项合同</w:t>
            </w:r>
            <w:r>
              <w:rPr>
                <w:rFonts w:hint="eastAsia" w:ascii="仿宋_GB2312" w:hAnsi="仿宋_GB2312" w:eastAsia="仿宋_GB2312" w:cs="仿宋_GB2312"/>
                <w:color w:val="auto"/>
                <w:highlight w:val="none"/>
                <w:vertAlign w:val="baseline"/>
                <w:lang w:val="en-US" w:eastAsia="zh-CN"/>
              </w:rPr>
              <w:t>建筑面积</w:t>
            </w:r>
            <w:r>
              <w:rPr>
                <w:rFonts w:hint="eastAsia" w:ascii="仿宋_GB2312" w:hAnsi="仿宋_GB2312" w:cs="仿宋_GB2312"/>
                <w:color w:val="auto"/>
                <w:highlight w:val="none"/>
                <w:vertAlign w:val="baseline"/>
                <w:lang w:val="en-US" w:eastAsia="zh-CN"/>
              </w:rPr>
              <w:t>5</w:t>
            </w:r>
            <w:r>
              <w:rPr>
                <w:rFonts w:hint="eastAsia" w:ascii="仿宋_GB2312" w:hAnsi="仿宋_GB2312" w:eastAsia="仿宋_GB2312" w:cs="仿宋_GB2312"/>
                <w:color w:val="auto"/>
                <w:highlight w:val="none"/>
                <w:vertAlign w:val="baseline"/>
                <w:lang w:val="en-US" w:eastAsia="zh-CN"/>
              </w:rPr>
              <w:t>万平方米以上</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业绩的</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得</w:t>
            </w:r>
            <w:r>
              <w:rPr>
                <w:rFonts w:hint="eastAsia" w:ascii="仿宋_GB2312" w:hAnsi="仿宋_GB2312" w:cs="仿宋_GB2312"/>
                <w:color w:val="auto"/>
                <w:highlight w:val="none"/>
                <w:vertAlign w:val="baseline"/>
                <w:lang w:val="en-US" w:eastAsia="zh-CN"/>
              </w:rPr>
              <w:t>1分</w:t>
            </w:r>
            <w:r>
              <w:rPr>
                <w:rFonts w:hint="eastAsia" w:ascii="仿宋_GB2312" w:hAnsi="仿宋_GB2312" w:eastAsia="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以合同签订时间为准</w:t>
            </w:r>
            <w:r>
              <w:rPr>
                <w:rFonts w:hint="eastAsia" w:ascii="仿宋_GB2312" w:hAnsi="仿宋_GB2312" w:cs="仿宋_GB2312"/>
                <w:color w:val="auto"/>
                <w:highlight w:val="none"/>
                <w:vertAlign w:val="baseline"/>
                <w:lang w:val="en-US" w:eastAsia="zh-CN"/>
              </w:rPr>
              <w:t>，以</w:t>
            </w:r>
            <w:r>
              <w:rPr>
                <w:rFonts w:hint="eastAsia" w:ascii="仿宋_GB2312" w:hAnsi="仿宋_GB2312" w:eastAsia="仿宋_GB2312" w:cs="仿宋_GB2312"/>
                <w:color w:val="auto"/>
                <w:highlight w:val="none"/>
                <w:vertAlign w:val="baseline"/>
                <w:lang w:val="en-US" w:eastAsia="zh-CN"/>
              </w:rPr>
              <w:t>提供可证明人员工作经历的相关合同</w:t>
            </w:r>
            <w:r>
              <w:rPr>
                <w:rFonts w:hint="eastAsia" w:ascii="仿宋_GB2312" w:hAnsi="仿宋_GB2312" w:cs="仿宋_GB2312"/>
                <w:color w:val="auto"/>
                <w:highlight w:val="none"/>
                <w:vertAlign w:val="baseline"/>
                <w:lang w:val="en-US" w:eastAsia="zh-CN"/>
              </w:rPr>
              <w:t>或检测报告</w:t>
            </w:r>
            <w:r>
              <w:rPr>
                <w:rFonts w:hint="eastAsia" w:ascii="仿宋_GB2312" w:hAnsi="仿宋_GB2312" w:eastAsia="仿宋_GB2312" w:cs="仿宋_GB2312"/>
                <w:color w:val="auto"/>
                <w:highlight w:val="none"/>
                <w:vertAlign w:val="baseline"/>
                <w:lang w:val="en-US" w:eastAsia="zh-CN"/>
              </w:rPr>
              <w:t>等材料</w:t>
            </w:r>
            <w:r>
              <w:rPr>
                <w:rFonts w:hint="eastAsia" w:ascii="仿宋_GB2312" w:hAnsi="仿宋_GB2312" w:cs="仿宋_GB2312"/>
                <w:color w:val="auto"/>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房屋安全检测技术方案（满分15分）</w:t>
            </w:r>
          </w:p>
        </w:tc>
        <w:tc>
          <w:tcPr>
            <w:tcW w:w="782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技术方案科学可行、内容完整，针对性强、检测计划合理的，得10.01-15分；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技术方案较科学可行、内容较完善、针对性较强、检测计划较合理的，得5.01-10分；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技术方案基本可行、内容基本完善、针对性一般、检测计划一般的，得0-5分；</w:t>
            </w:r>
          </w:p>
        </w:tc>
      </w:tr>
    </w:tbl>
    <w:p>
      <w:pPr>
        <w:pStyle w:val="2"/>
        <w:rPr>
          <w:rFonts w:hint="eastAsia" w:ascii="仿宋_GB2312" w:hAnsi="仿宋_GB2312" w:eastAsia="仿宋_GB2312" w:cs="仿宋_GB2312"/>
          <w:color w:val="auto"/>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lang w:val="en-US" w:eastAsia="zh-CN"/>
        </w:rPr>
        <w:t>3.商务得分（满分30分）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项目</w:t>
            </w:r>
          </w:p>
        </w:tc>
        <w:tc>
          <w:tcPr>
            <w:tcW w:w="7835"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企业实力（</w:t>
            </w:r>
            <w:r>
              <w:rPr>
                <w:rFonts w:hint="eastAsia" w:ascii="仿宋_GB2312" w:hAnsi="仿宋_GB2312" w:eastAsia="仿宋_GB2312" w:cs="仿宋_GB2312"/>
                <w:color w:val="auto"/>
                <w:highlight w:val="none"/>
                <w:vertAlign w:val="baseline"/>
                <w:lang w:val="en-US" w:eastAsia="zh-CN"/>
              </w:rPr>
              <w:t>满分</w:t>
            </w:r>
            <w:r>
              <w:rPr>
                <w:rFonts w:hint="eastAsia" w:ascii="仿宋_GB2312" w:hAnsi="仿宋_GB2312" w:cs="仿宋_GB2312"/>
                <w:color w:val="auto"/>
                <w:highlight w:val="none"/>
                <w:vertAlign w:val="baseline"/>
                <w:lang w:val="en-US" w:eastAsia="zh-CN"/>
              </w:rPr>
              <w:t>3</w:t>
            </w:r>
            <w:r>
              <w:rPr>
                <w:rFonts w:hint="eastAsia" w:ascii="仿宋_GB2312" w:hAnsi="仿宋_GB2312" w:eastAsia="仿宋_GB2312" w:cs="仿宋_GB2312"/>
                <w:color w:val="auto"/>
                <w:highlight w:val="none"/>
                <w:vertAlign w:val="baseline"/>
                <w:lang w:val="en-US" w:eastAsia="zh-CN"/>
              </w:rPr>
              <w:t>分</w:t>
            </w:r>
            <w:r>
              <w:rPr>
                <w:rFonts w:hint="eastAsia" w:ascii="仿宋_GB2312" w:hAnsi="仿宋_GB2312" w:cs="仿宋_GB2312"/>
                <w:color w:val="auto"/>
                <w:highlight w:val="none"/>
                <w:vertAlign w:val="baseline"/>
                <w:lang w:val="en-US" w:eastAsia="zh-CN"/>
              </w:rPr>
              <w:t>）</w:t>
            </w:r>
          </w:p>
        </w:tc>
        <w:tc>
          <w:tcPr>
            <w:tcW w:w="7835"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具有有效的质量管理体系认证证书（ISO9001）、职业健康安全管理体系认证证书（ISO45001）、环境管理体系认证证书（ISO14001）得3分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工期</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满分</w:t>
            </w:r>
            <w:r>
              <w:rPr>
                <w:rFonts w:hint="eastAsia" w:ascii="仿宋_GB2312" w:hAnsi="仿宋_GB2312" w:cs="仿宋_GB2312"/>
                <w:color w:val="auto"/>
                <w:highlight w:val="none"/>
                <w:vertAlign w:val="baseline"/>
                <w:lang w:val="en-US" w:eastAsia="zh-CN"/>
              </w:rPr>
              <w:t>7</w:t>
            </w:r>
            <w:r>
              <w:rPr>
                <w:rFonts w:hint="eastAsia" w:ascii="仿宋_GB2312" w:hAnsi="仿宋_GB2312" w:eastAsia="仿宋_GB2312" w:cs="仿宋_GB2312"/>
                <w:color w:val="auto"/>
                <w:highlight w:val="none"/>
                <w:vertAlign w:val="baseline"/>
                <w:lang w:val="en-US" w:eastAsia="zh-CN"/>
              </w:rPr>
              <w:t>分</w:t>
            </w:r>
            <w:r>
              <w:rPr>
                <w:rFonts w:hint="eastAsia" w:ascii="仿宋_GB2312" w:hAnsi="仿宋_GB2312" w:cs="仿宋_GB2312"/>
                <w:color w:val="auto"/>
                <w:highlight w:val="none"/>
                <w:vertAlign w:val="baseline"/>
                <w:lang w:val="en-US" w:eastAsia="zh-CN"/>
              </w:rPr>
              <w:t>）</w:t>
            </w:r>
          </w:p>
        </w:tc>
        <w:tc>
          <w:tcPr>
            <w:tcW w:w="7835"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30个日历天内完成</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工作</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出具合格的检测结果</w:t>
            </w:r>
            <w:r>
              <w:rPr>
                <w:rFonts w:hint="eastAsia" w:ascii="仿宋_GB2312" w:hAnsi="仿宋_GB2312" w:cs="仿宋_GB2312"/>
                <w:color w:val="auto"/>
                <w:highlight w:val="none"/>
                <w:vertAlign w:val="baseline"/>
                <w:lang w:val="en-US" w:eastAsia="zh-CN"/>
              </w:rPr>
              <w:t>并取得地方政府有关部门出具的房屋质量安全认定意见</w:t>
            </w:r>
            <w:r>
              <w:rPr>
                <w:rFonts w:hint="eastAsia" w:ascii="仿宋_GB2312" w:hAnsi="仿宋_GB2312" w:eastAsia="仿宋_GB2312" w:cs="仿宋_GB2312"/>
                <w:color w:val="auto"/>
                <w:highlight w:val="none"/>
                <w:vertAlign w:val="baseline"/>
                <w:lang w:val="en-US" w:eastAsia="zh-CN"/>
              </w:rPr>
              <w:t>，得</w:t>
            </w:r>
            <w:r>
              <w:rPr>
                <w:rFonts w:hint="eastAsia" w:ascii="仿宋_GB2312" w:hAnsi="仿宋_GB2312" w:cs="仿宋_GB2312"/>
                <w:color w:val="auto"/>
                <w:highlight w:val="none"/>
                <w:vertAlign w:val="baseline"/>
                <w:lang w:val="en-US" w:eastAsia="zh-CN"/>
              </w:rPr>
              <w:t>7</w:t>
            </w:r>
            <w:r>
              <w:rPr>
                <w:rFonts w:hint="eastAsia" w:ascii="仿宋_GB2312" w:hAnsi="仿宋_GB2312" w:eastAsia="仿宋_GB2312" w:cs="仿宋_GB2312"/>
                <w:color w:val="auto"/>
                <w:highlight w:val="none"/>
                <w:vertAlign w:val="baseline"/>
                <w:lang w:val="en-US" w:eastAsia="zh-CN"/>
              </w:rPr>
              <w:t>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40</w:t>
            </w:r>
            <w:r>
              <w:rPr>
                <w:rFonts w:hint="eastAsia" w:ascii="仿宋_GB2312" w:hAnsi="仿宋_GB2312" w:eastAsia="仿宋_GB2312" w:cs="仿宋_GB2312"/>
                <w:color w:val="auto"/>
                <w:highlight w:val="none"/>
                <w:vertAlign w:val="baseline"/>
                <w:lang w:val="en-US" w:eastAsia="zh-CN"/>
              </w:rPr>
              <w:t xml:space="preserve">个日历天 </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含</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 xml:space="preserve"> 内完成</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工作</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出具合格的检测结果</w:t>
            </w:r>
            <w:r>
              <w:rPr>
                <w:rFonts w:hint="eastAsia" w:ascii="仿宋_GB2312" w:hAnsi="仿宋_GB2312" w:cs="仿宋_GB2312"/>
                <w:color w:val="auto"/>
                <w:highlight w:val="none"/>
                <w:vertAlign w:val="baseline"/>
                <w:lang w:val="en-US" w:eastAsia="zh-CN"/>
              </w:rPr>
              <w:t>并取得地方政府有关部门出具的房屋质量安全认定意见</w:t>
            </w:r>
            <w:r>
              <w:rPr>
                <w:rFonts w:hint="eastAsia" w:ascii="仿宋_GB2312" w:hAnsi="仿宋_GB2312" w:eastAsia="仿宋_GB2312" w:cs="仿宋_GB2312"/>
                <w:color w:val="auto"/>
                <w:highlight w:val="none"/>
                <w:vertAlign w:val="baseline"/>
                <w:lang w:val="en-US" w:eastAsia="zh-CN"/>
              </w:rPr>
              <w:t>，得</w:t>
            </w:r>
            <w:r>
              <w:rPr>
                <w:rFonts w:hint="eastAsia" w:ascii="仿宋_GB2312" w:hAnsi="仿宋_GB2312" w:cs="仿宋_GB2312"/>
                <w:color w:val="auto"/>
                <w:highlight w:val="none"/>
                <w:vertAlign w:val="baseline"/>
                <w:lang w:val="en-US" w:eastAsia="zh-CN"/>
              </w:rPr>
              <w:t>4</w:t>
            </w:r>
            <w:r>
              <w:rPr>
                <w:rFonts w:hint="eastAsia" w:ascii="仿宋_GB2312" w:hAnsi="仿宋_GB2312" w:eastAsia="仿宋_GB2312" w:cs="仿宋_GB2312"/>
                <w:color w:val="auto"/>
                <w:highlight w:val="none"/>
                <w:vertAlign w:val="baseline"/>
                <w:lang w:val="en-US" w:eastAsia="zh-CN"/>
              </w:rPr>
              <w:t>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45</w:t>
            </w:r>
            <w:r>
              <w:rPr>
                <w:rFonts w:hint="eastAsia" w:ascii="仿宋_GB2312" w:hAnsi="仿宋_GB2312" w:eastAsia="仿宋_GB2312" w:cs="仿宋_GB2312"/>
                <w:color w:val="auto"/>
                <w:highlight w:val="none"/>
                <w:vertAlign w:val="baseline"/>
                <w:lang w:val="en-US" w:eastAsia="zh-CN"/>
              </w:rPr>
              <w:t>个日历天</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不含</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 xml:space="preserve"> 以上完成</w:t>
            </w:r>
            <w:r>
              <w:rPr>
                <w:rFonts w:hint="eastAsia" w:ascii="仿宋_GB2312" w:hAnsi="仿宋_GB2312" w:cs="仿宋_GB2312"/>
                <w:color w:val="auto"/>
                <w:highlight w:val="none"/>
                <w:vertAlign w:val="baseline"/>
                <w:lang w:val="en-US" w:eastAsia="zh-CN"/>
              </w:rPr>
              <w:t>质量安全检测鉴定</w:t>
            </w:r>
            <w:r>
              <w:rPr>
                <w:rFonts w:hint="eastAsia" w:ascii="仿宋_GB2312" w:hAnsi="仿宋_GB2312" w:eastAsia="仿宋_GB2312" w:cs="仿宋_GB2312"/>
                <w:color w:val="auto"/>
                <w:highlight w:val="none"/>
                <w:vertAlign w:val="baseline"/>
                <w:lang w:val="en-US" w:eastAsia="zh-CN"/>
              </w:rPr>
              <w:t>工作</w:t>
            </w: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出具合格的检测结果</w:t>
            </w:r>
            <w:r>
              <w:rPr>
                <w:rFonts w:hint="eastAsia" w:ascii="仿宋_GB2312" w:hAnsi="仿宋_GB2312" w:cs="仿宋_GB2312"/>
                <w:color w:val="auto"/>
                <w:highlight w:val="none"/>
                <w:vertAlign w:val="baseline"/>
                <w:lang w:val="en-US" w:eastAsia="zh-CN"/>
              </w:rPr>
              <w:t>并取得地方政府有关部门出具的房屋质量安全认定意见</w:t>
            </w:r>
            <w:r>
              <w:rPr>
                <w:rFonts w:hint="eastAsia" w:ascii="仿宋_GB2312" w:hAnsi="仿宋_GB2312" w:eastAsia="仿宋_GB2312" w:cs="仿宋_GB2312"/>
                <w:color w:val="auto"/>
                <w:highlight w:val="none"/>
                <w:vertAlign w:val="baseline"/>
                <w:lang w:val="en-US" w:eastAsia="zh-CN"/>
              </w:rPr>
              <w:t>的得</w:t>
            </w:r>
            <w:r>
              <w:rPr>
                <w:rFonts w:hint="eastAsia" w:ascii="仿宋_GB2312" w:hAnsi="仿宋_GB2312" w:cs="仿宋_GB2312"/>
                <w:color w:val="auto"/>
                <w:highlight w:val="none"/>
                <w:vertAlign w:val="baseline"/>
                <w:lang w:val="en-US" w:eastAsia="zh-CN"/>
              </w:rPr>
              <w:t>1</w:t>
            </w:r>
            <w:r>
              <w:rPr>
                <w:rFonts w:hint="eastAsia" w:ascii="仿宋_GB2312" w:hAnsi="仿宋_GB2312" w:eastAsia="仿宋_GB2312" w:cs="仿宋_GB2312"/>
                <w:color w:val="auto"/>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业绩</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满分20分</w:t>
            </w:r>
            <w:r>
              <w:rPr>
                <w:rFonts w:hint="eastAsia" w:ascii="仿宋_GB2312" w:hAnsi="仿宋_GB2312" w:cs="仿宋_GB2312"/>
                <w:color w:val="auto"/>
                <w:highlight w:val="none"/>
                <w:vertAlign w:val="baseline"/>
                <w:lang w:val="en-US" w:eastAsia="zh-CN"/>
              </w:rPr>
              <w:t>）</w:t>
            </w:r>
          </w:p>
        </w:tc>
        <w:tc>
          <w:tcPr>
            <w:tcW w:w="7835"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eastAsia="仿宋_GB2312" w:cs="仿宋_GB2312"/>
                <w:color w:val="auto"/>
                <w:highlight w:val="none"/>
                <w:vertAlign w:val="baseline"/>
                <w:lang w:val="en-US" w:eastAsia="zh-CN"/>
              </w:rPr>
              <w:t>202</w:t>
            </w:r>
            <w:r>
              <w:rPr>
                <w:rFonts w:hint="eastAsia" w:ascii="仿宋_GB2312" w:hAnsi="仿宋_GB2312" w:cs="仿宋_GB2312"/>
                <w:color w:val="auto"/>
                <w:highlight w:val="none"/>
                <w:vertAlign w:val="baseline"/>
                <w:lang w:val="en-US" w:eastAsia="zh-CN"/>
              </w:rPr>
              <w:t>1</w:t>
            </w:r>
            <w:r>
              <w:rPr>
                <w:rFonts w:hint="eastAsia" w:ascii="仿宋_GB2312" w:hAnsi="仿宋_GB2312" w:eastAsia="仿宋_GB2312" w:cs="仿宋_GB2312"/>
                <w:color w:val="auto"/>
                <w:highlight w:val="none"/>
                <w:vertAlign w:val="baseline"/>
                <w:lang w:val="en-US" w:eastAsia="zh-CN"/>
              </w:rPr>
              <w:t>年1月1日</w:t>
            </w:r>
            <w:r>
              <w:rPr>
                <w:rFonts w:hint="eastAsia" w:ascii="仿宋_GB2312" w:hAnsi="仿宋_GB2312" w:cs="仿宋_GB2312"/>
                <w:color w:val="auto"/>
                <w:highlight w:val="none"/>
                <w:vertAlign w:val="baseline"/>
                <w:lang w:val="en-US" w:eastAsia="zh-CN"/>
              </w:rPr>
              <w:t>以来，每提供一份单项合同建筑面积30</w:t>
            </w:r>
            <w:r>
              <w:rPr>
                <w:rFonts w:hint="eastAsia" w:ascii="仿宋_GB2312" w:hAnsi="仿宋_GB2312" w:eastAsia="仿宋_GB2312" w:cs="仿宋_GB2312"/>
                <w:color w:val="auto"/>
                <w:highlight w:val="none"/>
                <w:vertAlign w:val="baseline"/>
                <w:lang w:val="en-US" w:eastAsia="zh-CN"/>
              </w:rPr>
              <w:t>万平方米</w:t>
            </w:r>
            <w:r>
              <w:rPr>
                <w:rFonts w:hint="eastAsia" w:ascii="仿宋_GB2312" w:hAnsi="仿宋_GB2312" w:cs="仿宋_GB2312"/>
                <w:color w:val="auto"/>
                <w:highlight w:val="none"/>
                <w:vertAlign w:val="baseline"/>
                <w:lang w:val="en-US" w:eastAsia="zh-CN"/>
              </w:rPr>
              <w:t>及以上质量安全检测鉴定</w:t>
            </w:r>
            <w:r>
              <w:rPr>
                <w:rFonts w:hint="eastAsia" w:ascii="仿宋_GB2312" w:hAnsi="仿宋_GB2312" w:eastAsia="仿宋_GB2312" w:cs="仿宋_GB2312"/>
                <w:color w:val="auto"/>
                <w:highlight w:val="none"/>
                <w:vertAlign w:val="baseline"/>
                <w:lang w:val="en-US" w:eastAsia="zh-CN"/>
              </w:rPr>
              <w:t>业绩的，每提供一</w:t>
            </w:r>
            <w:r>
              <w:rPr>
                <w:rFonts w:hint="eastAsia" w:ascii="仿宋_GB2312" w:hAnsi="仿宋_GB2312" w:cs="仿宋_GB2312"/>
                <w:color w:val="auto"/>
                <w:highlight w:val="none"/>
                <w:vertAlign w:val="baseline"/>
                <w:lang w:val="en-US" w:eastAsia="zh-CN"/>
              </w:rPr>
              <w:t>份</w:t>
            </w:r>
            <w:r>
              <w:rPr>
                <w:rFonts w:hint="eastAsia" w:ascii="仿宋_GB2312" w:hAnsi="仿宋_GB2312" w:eastAsia="仿宋_GB2312" w:cs="仿宋_GB2312"/>
                <w:color w:val="auto"/>
                <w:highlight w:val="none"/>
                <w:vertAlign w:val="baseline"/>
                <w:lang w:val="en-US" w:eastAsia="zh-CN"/>
              </w:rPr>
              <w:t>得</w:t>
            </w:r>
            <w:r>
              <w:rPr>
                <w:rFonts w:hint="eastAsia" w:ascii="仿宋_GB2312" w:hAnsi="仿宋_GB2312" w:cs="仿宋_GB2312"/>
                <w:color w:val="auto"/>
                <w:highlight w:val="none"/>
                <w:vertAlign w:val="baseline"/>
                <w:lang w:val="en-US" w:eastAsia="zh-CN"/>
              </w:rPr>
              <w:t>10</w:t>
            </w:r>
            <w:r>
              <w:rPr>
                <w:rFonts w:hint="eastAsia" w:ascii="仿宋_GB2312" w:hAnsi="仿宋_GB2312" w:eastAsia="仿宋_GB2312" w:cs="仿宋_GB2312"/>
                <w:color w:val="auto"/>
                <w:highlight w:val="none"/>
                <w:vertAlign w:val="baseline"/>
                <w:lang w:val="en-US" w:eastAsia="zh-CN"/>
              </w:rPr>
              <w:t>分</w:t>
            </w:r>
            <w:r>
              <w:rPr>
                <w:rFonts w:hint="eastAsia" w:ascii="仿宋_GB2312" w:hAnsi="仿宋_GB2312" w:cs="仿宋_GB2312"/>
                <w:color w:val="auto"/>
                <w:highlight w:val="none"/>
                <w:vertAlign w:val="baseline"/>
                <w:lang w:val="en-US" w:eastAsia="zh-CN"/>
              </w:rPr>
              <w:t>，最多得20分</w:t>
            </w:r>
            <w:r>
              <w:rPr>
                <w:rFonts w:hint="eastAsia" w:ascii="仿宋_GB2312" w:hAnsi="仿宋_GB2312" w:eastAsia="仿宋_GB2312" w:cs="仿宋_GB2312"/>
                <w:color w:val="auto"/>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注：提供的公司业绩与负责人业绩不能相同。</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color w:val="auto"/>
                <w:highlight w:val="none"/>
                <w:vertAlign w:val="baseline"/>
                <w:lang w:val="en-US" w:eastAsia="zh-CN"/>
              </w:rPr>
            </w:pPr>
            <w:r>
              <w:rPr>
                <w:rFonts w:hint="eastAsia" w:ascii="仿宋_GB2312" w:hAnsi="仿宋_GB2312" w:cs="仿宋_GB2312"/>
                <w:color w:val="auto"/>
                <w:highlight w:val="none"/>
                <w:vertAlign w:val="baseline"/>
                <w:lang w:val="en-US" w:eastAsia="zh-CN"/>
              </w:rPr>
              <w:t>（</w:t>
            </w:r>
            <w:r>
              <w:rPr>
                <w:rFonts w:hint="eastAsia" w:ascii="仿宋_GB2312" w:hAnsi="仿宋_GB2312" w:eastAsia="仿宋_GB2312" w:cs="仿宋_GB2312"/>
                <w:color w:val="auto"/>
                <w:highlight w:val="none"/>
                <w:vertAlign w:val="baseline"/>
                <w:lang w:val="en-US" w:eastAsia="zh-CN"/>
              </w:rPr>
              <w:t>以合同签订时间为准，提供合同关键页复印件</w:t>
            </w:r>
            <w:r>
              <w:rPr>
                <w:rFonts w:hint="eastAsia" w:ascii="仿宋_GB2312" w:hAnsi="仿宋_GB2312" w:cs="仿宋_GB2312"/>
                <w:color w:val="auto"/>
                <w:highlight w:val="none"/>
                <w:vertAlign w:val="baseline"/>
                <w:lang w:val="en-US" w:eastAsia="zh-CN"/>
              </w:rPr>
              <w:t>加盖</w:t>
            </w:r>
            <w:r>
              <w:rPr>
                <w:rFonts w:hint="eastAsia" w:ascii="仿宋_GB2312" w:hAnsi="仿宋_GB2312" w:eastAsia="仿宋_GB2312" w:cs="仿宋_GB2312"/>
                <w:color w:val="auto"/>
                <w:highlight w:val="none"/>
                <w:vertAlign w:val="baseline"/>
                <w:lang w:val="en-US" w:eastAsia="zh-CN"/>
              </w:rPr>
              <w:t>公章</w:t>
            </w:r>
            <w:r>
              <w:rPr>
                <w:rFonts w:hint="eastAsia" w:ascii="仿宋_GB2312" w:hAnsi="仿宋_GB2312" w:cs="仿宋_GB2312"/>
                <w:color w:val="auto"/>
                <w:highlight w:val="none"/>
                <w:vertAlign w:val="baseline"/>
                <w:lang w:val="en-US" w:eastAsia="zh-CN"/>
              </w:rPr>
              <w:t>）</w:t>
            </w:r>
          </w:p>
        </w:tc>
      </w:tr>
    </w:tbl>
    <w:p>
      <w:pPr>
        <w:rPr>
          <w:rFonts w:ascii="Times New Roman" w:hAnsi="Times New Roman"/>
          <w:color w:val="auto"/>
          <w:highlight w:val="none"/>
        </w:rPr>
      </w:pPr>
    </w:p>
    <w:p>
      <w:pPr>
        <w:rPr>
          <w:rFonts w:hint="eastAsia" w:ascii="方正小标宋_GBK" w:hAnsi="方正小标宋_GBK" w:eastAsia="方正小标宋_GBK" w:cs="方正小标宋_GBK"/>
          <w:color w:val="auto"/>
          <w:sz w:val="44"/>
          <w:szCs w:val="44"/>
          <w:highlight w:val="none"/>
        </w:rPr>
      </w:pPr>
      <w:bookmarkStart w:id="14" w:name="_Toc257663478"/>
      <w:bookmarkStart w:id="15" w:name="_Toc261847581"/>
      <w:bookmarkStart w:id="16" w:name="_Toc394392511"/>
      <w:r>
        <w:rPr>
          <w:rFonts w:hint="eastAsia" w:ascii="方正小标宋_GBK" w:hAnsi="方正小标宋_GBK" w:eastAsia="方正小标宋_GBK" w:cs="方正小标宋_GBK"/>
          <w:color w:val="auto"/>
          <w:sz w:val="44"/>
          <w:szCs w:val="44"/>
          <w:highlight w:val="none"/>
        </w:rPr>
        <w:br w:type="page"/>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第三章  内容及技术要求</w:t>
      </w:r>
    </w:p>
    <w:bookmarkEnd w:id="14"/>
    <w:bookmarkEnd w:id="15"/>
    <w:bookmarkEnd w:id="16"/>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一、采购内容项目概况与范围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项目名称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napToGrid/>
          <w:color w:val="auto"/>
          <w:spacing w:val="0"/>
          <w:position w:val="0"/>
          <w:sz w:val="32"/>
          <w:szCs w:val="32"/>
          <w:highlight w:val="none"/>
        </w:rPr>
      </w:pPr>
      <w:r>
        <w:rPr>
          <w:rFonts w:hint="eastAsia" w:ascii="仿宋_GB2312" w:hAnsi="仿宋_GB2312" w:eastAsia="仿宋_GB2312" w:cs="仿宋_GB2312"/>
          <w:snapToGrid/>
          <w:color w:val="auto"/>
          <w:spacing w:val="0"/>
          <w:position w:val="0"/>
          <w:sz w:val="32"/>
          <w:szCs w:val="32"/>
          <w:highlight w:val="none"/>
        </w:rPr>
        <w:t>石家庄机场二期改扩建工程建筑物质量安全检测鉴定项目</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项目概况</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default" w:eastAsia="仿宋_GB2312"/>
          <w:color w:val="auto"/>
          <w:highlight w:val="none"/>
          <w:lang w:val="en-US" w:eastAsia="zh-CN"/>
        </w:rPr>
      </w:pPr>
      <w:r>
        <w:rPr>
          <w:rFonts w:hint="eastAsia" w:ascii="仿宋_GB2312" w:hAnsi="仿宋_GB2312" w:eastAsia="仿宋_GB2312" w:cs="仿宋_GB2312"/>
          <w:snapToGrid/>
          <w:color w:val="auto"/>
          <w:spacing w:val="0"/>
          <w:position w:val="0"/>
          <w:sz w:val="32"/>
          <w:szCs w:val="32"/>
          <w:highlight w:val="none"/>
          <w:lang w:val="en-US" w:eastAsia="zh-CN"/>
        </w:rPr>
        <w:t>对石</w:t>
      </w:r>
      <w:r>
        <w:rPr>
          <w:rFonts w:hint="eastAsia" w:ascii="仿宋_GB2312" w:hAnsi="仿宋_GB2312" w:eastAsia="仿宋_GB2312" w:cs="仿宋_GB2312"/>
          <w:snapToGrid/>
          <w:color w:val="auto"/>
          <w:spacing w:val="0"/>
          <w:position w:val="0"/>
          <w:sz w:val="32"/>
          <w:szCs w:val="32"/>
          <w:highlight w:val="none"/>
        </w:rPr>
        <w:t>家庄机场二期改扩建工程包括信息楼、T2航站楼、货运站、灯光站等</w:t>
      </w:r>
      <w:r>
        <w:rPr>
          <w:rFonts w:hint="eastAsia" w:ascii="仿宋_GB2312" w:hAnsi="仿宋_GB2312" w:eastAsia="仿宋_GB2312" w:cs="仿宋_GB2312"/>
          <w:snapToGrid/>
          <w:color w:val="auto"/>
          <w:spacing w:val="0"/>
          <w:position w:val="0"/>
          <w:sz w:val="32"/>
          <w:szCs w:val="32"/>
          <w:highlight w:val="none"/>
          <w:lang w:val="en-US" w:eastAsia="zh-CN"/>
        </w:rPr>
        <w:t>26</w:t>
      </w:r>
      <w:r>
        <w:rPr>
          <w:rFonts w:hint="eastAsia" w:ascii="仿宋_GB2312" w:hAnsi="仿宋_GB2312" w:eastAsia="仿宋_GB2312" w:cs="仿宋_GB2312"/>
          <w:snapToGrid/>
          <w:color w:val="auto"/>
          <w:spacing w:val="0"/>
          <w:position w:val="0"/>
          <w:sz w:val="32"/>
          <w:szCs w:val="32"/>
          <w:highlight w:val="none"/>
        </w:rPr>
        <w:t>个建筑物，合计约2</w:t>
      </w:r>
      <w:r>
        <w:rPr>
          <w:rFonts w:hint="eastAsia" w:ascii="仿宋_GB2312" w:hAnsi="仿宋_GB2312" w:eastAsia="仿宋_GB2312" w:cs="仿宋_GB2312"/>
          <w:snapToGrid/>
          <w:color w:val="auto"/>
          <w:spacing w:val="0"/>
          <w:position w:val="0"/>
          <w:sz w:val="32"/>
          <w:szCs w:val="32"/>
          <w:highlight w:val="none"/>
          <w:lang w:val="en-US" w:eastAsia="zh-CN"/>
        </w:rPr>
        <w:t>3</w:t>
      </w:r>
      <w:r>
        <w:rPr>
          <w:rFonts w:hint="eastAsia" w:ascii="仿宋_GB2312" w:hAnsi="仿宋_GB2312" w:eastAsia="仿宋_GB2312" w:cs="仿宋_GB2312"/>
          <w:snapToGrid/>
          <w:color w:val="auto"/>
          <w:spacing w:val="0"/>
          <w:position w:val="0"/>
          <w:sz w:val="32"/>
          <w:szCs w:val="32"/>
          <w:highlight w:val="none"/>
        </w:rPr>
        <w:t>万平米</w:t>
      </w:r>
      <w:r>
        <w:rPr>
          <w:rFonts w:hint="eastAsia" w:ascii="仿宋_GB2312" w:hAnsi="仿宋_GB2312" w:eastAsia="仿宋_GB2312" w:cs="仿宋_GB2312"/>
          <w:snapToGrid/>
          <w:color w:val="auto"/>
          <w:spacing w:val="0"/>
          <w:position w:val="0"/>
          <w:sz w:val="32"/>
          <w:szCs w:val="32"/>
          <w:highlight w:val="none"/>
          <w:lang w:eastAsia="zh-CN"/>
        </w:rPr>
        <w:t>的</w:t>
      </w:r>
      <w:r>
        <w:rPr>
          <w:rFonts w:hint="eastAsia" w:ascii="仿宋_GB2312" w:hAnsi="仿宋_GB2312" w:eastAsia="仿宋_GB2312" w:cs="仿宋_GB2312"/>
          <w:snapToGrid/>
          <w:color w:val="auto"/>
          <w:spacing w:val="0"/>
          <w:position w:val="0"/>
          <w:sz w:val="32"/>
          <w:szCs w:val="32"/>
          <w:highlight w:val="none"/>
        </w:rPr>
        <w:t>建筑物</w:t>
      </w:r>
      <w:r>
        <w:rPr>
          <w:rFonts w:hint="eastAsia" w:ascii="仿宋_GB2312" w:hAnsi="仿宋_GB2312" w:eastAsia="仿宋_GB2312" w:cs="仿宋_GB2312"/>
          <w:snapToGrid/>
          <w:color w:val="auto"/>
          <w:spacing w:val="0"/>
          <w:position w:val="0"/>
          <w:sz w:val="32"/>
          <w:szCs w:val="32"/>
          <w:highlight w:val="none"/>
          <w:lang w:eastAsia="zh-CN"/>
        </w:rPr>
        <w:t>、</w:t>
      </w:r>
      <w:r>
        <w:rPr>
          <w:rFonts w:hint="eastAsia" w:ascii="仿宋_GB2312" w:hAnsi="仿宋_GB2312" w:eastAsia="仿宋_GB2312" w:cs="仿宋_GB2312"/>
          <w:snapToGrid/>
          <w:color w:val="auto"/>
          <w:spacing w:val="0"/>
          <w:position w:val="0"/>
          <w:sz w:val="32"/>
          <w:szCs w:val="32"/>
          <w:highlight w:val="none"/>
          <w:lang w:val="en-US" w:eastAsia="zh-CN"/>
        </w:rPr>
        <w:t>构筑物</w:t>
      </w:r>
      <w:r>
        <w:rPr>
          <w:rFonts w:hint="eastAsia" w:ascii="仿宋_GB2312" w:hAnsi="仿宋_GB2312" w:eastAsia="仿宋_GB2312" w:cs="仿宋_GB2312"/>
          <w:snapToGrid/>
          <w:color w:val="auto"/>
          <w:spacing w:val="0"/>
          <w:position w:val="0"/>
          <w:sz w:val="32"/>
          <w:szCs w:val="32"/>
          <w:highlight w:val="none"/>
        </w:rPr>
        <w:t>开展</w:t>
      </w:r>
      <w:r>
        <w:rPr>
          <w:rFonts w:hint="eastAsia" w:ascii="仿宋_GB2312" w:hAnsi="仿宋_GB2312" w:eastAsia="仿宋_GB2312" w:cs="仿宋_GB2312"/>
          <w:snapToGrid/>
          <w:color w:val="auto"/>
          <w:spacing w:val="0"/>
          <w:position w:val="0"/>
          <w:sz w:val="32"/>
          <w:szCs w:val="32"/>
          <w:highlight w:val="none"/>
          <w:lang w:eastAsia="zh-CN"/>
        </w:rPr>
        <w:t>质量安全检测鉴定</w:t>
      </w:r>
      <w:r>
        <w:rPr>
          <w:rFonts w:hint="eastAsia" w:ascii="仿宋_GB2312" w:hAnsi="仿宋_GB2312" w:eastAsia="仿宋_GB2312" w:cs="仿宋_GB2312"/>
          <w:snapToGrid/>
          <w:color w:val="auto"/>
          <w:spacing w:val="0"/>
          <w:position w:val="0"/>
          <w:sz w:val="32"/>
          <w:szCs w:val="32"/>
          <w:highlight w:val="none"/>
          <w:lang w:val="en-US" w:eastAsia="zh-CN"/>
        </w:rPr>
        <w:t>工作</w:t>
      </w:r>
      <w:r>
        <w:rPr>
          <w:rFonts w:hint="eastAsia" w:ascii="仿宋_GB2312" w:hAnsi="仿宋_GB2312" w:eastAsia="仿宋_GB2312" w:cs="仿宋_GB2312"/>
          <w:snapToGrid/>
          <w:color w:val="auto"/>
          <w:spacing w:val="0"/>
          <w:position w:val="0"/>
          <w:sz w:val="32"/>
          <w:szCs w:val="32"/>
          <w:highlight w:val="none"/>
        </w:rPr>
        <w:t>，依据行业、地方法规标准出具检测报告，</w:t>
      </w:r>
      <w:r>
        <w:rPr>
          <w:rFonts w:hint="eastAsia" w:ascii="仿宋_GB2312" w:hAnsi="仿宋_GB2312" w:eastAsia="仿宋_GB2312" w:cs="仿宋_GB2312"/>
          <w:snapToGrid/>
          <w:color w:val="auto"/>
          <w:spacing w:val="0"/>
          <w:position w:val="0"/>
          <w:sz w:val="32"/>
          <w:szCs w:val="32"/>
          <w:highlight w:val="none"/>
          <w:lang w:val="en-US" w:eastAsia="zh-CN"/>
        </w:rPr>
        <w:t>并协助河北机场集团办理完成房屋质量安全认定手续，取得地方政府关于相关建筑物的认定意见。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（三）谈判范围</w:t>
      </w:r>
    </w:p>
    <w:p>
      <w:pPr>
        <w:pStyle w:val="2"/>
        <w:rPr>
          <w:rFonts w:hint="default"/>
          <w:color w:val="auto"/>
          <w:highlight w:val="none"/>
          <w:lang w:val="en-US" w:eastAsia="zh-CN"/>
        </w:rPr>
      </w:pPr>
      <w:r>
        <w:rPr>
          <w:rFonts w:hint="eastAsia"/>
          <w:color w:val="auto"/>
          <w:highlight w:val="none"/>
          <w:lang w:val="en-US" w:eastAsia="zh-CN"/>
        </w:rPr>
        <w:t>对以下建筑物完成质量安全检测鉴定，并出具有效合格的检测成果。</w:t>
      </w:r>
    </w:p>
    <w:tbl>
      <w:tblPr>
        <w:tblStyle w:val="9"/>
        <w:tblW w:w="449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2"/>
        <w:gridCol w:w="4588"/>
        <w:gridCol w:w="2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16" w:hRule="atLeast"/>
          <w:tblHeader/>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序号</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建筑物名称</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建筑面积（㎡）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货运站消防执勤点</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安检办公与急救中心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w:t>
            </w:r>
            <w:r>
              <w:rPr>
                <w:rStyle w:val="16"/>
                <w:rFonts w:hAnsi="等线"/>
                <w:color w:val="auto"/>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w:t>
            </w:r>
            <w:r>
              <w:rPr>
                <w:rStyle w:val="16"/>
                <w:rFonts w:hAnsi="等线"/>
                <w:color w:val="auto"/>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2号航站楼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153939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信息中心办公楼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23349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国际货运站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国内货运站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货运站门卫室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熏蒸室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特运库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海关查验扣留物品库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提货库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南区能源中心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35KV</w:t>
            </w:r>
            <w:r>
              <w:rPr>
                <w:rStyle w:val="16"/>
                <w:rFonts w:hAnsi="等线"/>
                <w:color w:val="auto"/>
                <w:highlight w:val="none"/>
                <w:lang w:val="en-US" w:eastAsia="zh-CN" w:bidi="ar"/>
              </w:rPr>
              <w:t>中心变电站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北区供水站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北动力中心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垃圾转运站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污水提升泵房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飞行区1#特种车库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货运区综合楼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7400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北灯光变电站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16"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2号航站楼停车场综合服务用房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844.17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飞行区2#特种车库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飞行区3#特种车库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35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kern w:val="0"/>
                <w:sz w:val="32"/>
                <w:szCs w:val="32"/>
                <w:highlight w:val="none"/>
                <w:u w:val="none"/>
                <w:lang w:val="en-US" w:eastAsia="zh-CN" w:bidi="ar"/>
              </w:rPr>
            </w:pPr>
            <w:r>
              <w:rPr>
                <w:rFonts w:hint="eastAsia" w:ascii="仿宋_GB2312" w:hAnsi="等线" w:eastAsia="仿宋_GB2312" w:cs="仿宋_GB2312"/>
                <w:i w:val="0"/>
                <w:iCs w:val="0"/>
                <w:color w:val="auto"/>
                <w:kern w:val="0"/>
                <w:sz w:val="32"/>
                <w:szCs w:val="32"/>
                <w:highlight w:val="none"/>
                <w:u w:val="none"/>
                <w:lang w:val="en-US" w:eastAsia="zh-CN" w:bidi="ar"/>
              </w:rPr>
              <w:t>合计</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default" w:ascii="仿宋_GB2312" w:hAnsi="等线" w:eastAsia="仿宋_GB2312" w:cs="仿宋_GB2312"/>
                <w:i w:val="0"/>
                <w:iCs w:val="0"/>
                <w:color w:val="auto"/>
                <w:kern w:val="0"/>
                <w:sz w:val="32"/>
                <w:szCs w:val="32"/>
                <w:highlight w:val="none"/>
                <w:u w:val="none"/>
                <w:lang w:val="en-US" w:eastAsia="zh-CN" w:bidi="ar"/>
              </w:rPr>
            </w:pPr>
            <w:r>
              <w:rPr>
                <w:rFonts w:hint="eastAsia" w:ascii="仿宋_GB2312" w:hAnsi="等线" w:eastAsia="仿宋_GB2312" w:cs="仿宋_GB2312"/>
                <w:i w:val="0"/>
                <w:iCs w:val="0"/>
                <w:color w:val="auto"/>
                <w:kern w:val="0"/>
                <w:sz w:val="32"/>
                <w:szCs w:val="32"/>
                <w:highlight w:val="none"/>
                <w:u w:val="none"/>
                <w:lang w:val="en-US" w:eastAsia="zh-CN" w:bidi="ar"/>
              </w:rPr>
              <w:t>230060.67</w:t>
            </w:r>
          </w:p>
        </w:tc>
      </w:tr>
    </w:tbl>
    <w:p>
      <w:pPr>
        <w:pStyle w:val="8"/>
        <w:rPr>
          <w:rFonts w:hint="eastAsia"/>
          <w:color w:val="auto"/>
          <w:highlight w:val="none"/>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color w:val="auto"/>
          <w:kern w:val="2"/>
          <w:sz w:val="28"/>
          <w:szCs w:val="28"/>
          <w:highlight w:val="none"/>
          <w:lang w:val="en-GB"/>
        </w:rPr>
      </w:pP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技术要求。</w:t>
      </w:r>
    </w:p>
    <w:p>
      <w:pPr>
        <w:pStyle w:val="14"/>
        <w:shd w:val="clear" w:color="auto" w:fill="FFFFFF"/>
        <w:spacing w:before="0" w:beforeAutospacing="0" w:after="0" w:afterAutospacing="0" w:line="360" w:lineRule="auto"/>
        <w:ind w:firstLine="640" w:firstLineChars="200"/>
        <w:rPr>
          <w:color w:val="auto"/>
          <w:kern w:val="2"/>
          <w:sz w:val="28"/>
          <w:szCs w:val="28"/>
          <w:highlight w:val="none"/>
          <w:lang w:val="en-GB"/>
        </w:rPr>
        <w:sectPr>
          <w:pgSz w:w="11905" w:h="16840"/>
          <w:pgMar w:top="567" w:right="1418" w:bottom="567" w:left="1418" w:header="851" w:footer="850" w:gutter="113"/>
          <w:cols w:space="0" w:num="1"/>
          <w:rtlGutter w:val="0"/>
          <w:docGrid w:linePitch="0" w:charSpace="0"/>
        </w:sectPr>
      </w:pPr>
      <w:r>
        <w:rPr>
          <w:rFonts w:hint="eastAsia" w:ascii="仿宋_GB2312" w:hAnsi="仿宋_GB2312" w:eastAsia="仿宋_GB2312" w:cs="仿宋_GB2312"/>
          <w:snapToGrid/>
          <w:color w:val="auto"/>
          <w:spacing w:val="0"/>
          <w:position w:val="0"/>
          <w:sz w:val="32"/>
          <w:szCs w:val="32"/>
          <w:highlight w:val="none"/>
          <w:lang w:val="en-US" w:eastAsia="zh-CN"/>
        </w:rPr>
        <w:t>提供完成质量安全检测鉴定的人员团队、设施设备，45个日历天内完成质量安全检测鉴定工作，出具有效的检测成果并协助河北机场集团取得地方主管部门出具的房屋质量安全认定意见。</w:t>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w:t>
      </w:r>
      <w:r>
        <w:rPr>
          <w:rFonts w:hint="eastAsia" w:ascii="方正小标宋_GBK" w:hAnsi="方正小标宋_GBK" w:eastAsia="方正小标宋_GBK" w:cs="方正小标宋_GBK"/>
          <w:color w:val="auto"/>
          <w:sz w:val="44"/>
          <w:szCs w:val="44"/>
          <w:highlight w:val="none"/>
          <w:lang w:val="en-US" w:eastAsia="zh-CN"/>
        </w:rPr>
        <w:t>四</w:t>
      </w:r>
      <w:r>
        <w:rPr>
          <w:rFonts w:hint="eastAsia" w:ascii="方正小标宋_GBK" w:hAnsi="方正小标宋_GBK" w:eastAsia="方正小标宋_GBK" w:cs="方正小标宋_GBK"/>
          <w:color w:val="auto"/>
          <w:sz w:val="44"/>
          <w:szCs w:val="44"/>
          <w:highlight w:val="none"/>
        </w:rPr>
        <w:t>章  参选文件格式要求</w:t>
      </w:r>
    </w:p>
    <w:p>
      <w:pPr>
        <w:spacing w:line="360" w:lineRule="auto"/>
        <w:jc w:val="center"/>
        <w:rPr>
          <w:rFonts w:ascii="宋体"/>
          <w:color w:val="auto"/>
          <w:sz w:val="24"/>
          <w:szCs w:val="24"/>
          <w:highlight w:val="none"/>
          <w:u w:val="single"/>
        </w:rPr>
      </w:pPr>
    </w:p>
    <w:p>
      <w:pPr>
        <w:spacing w:line="360" w:lineRule="auto"/>
        <w:jc w:val="center"/>
        <w:rPr>
          <w:rFonts w:hint="eastAsia" w:ascii="方正小标宋_GBK" w:hAnsi="方正小标宋_GBK" w:eastAsia="方正小标宋_GBK" w:cs="方正小标宋_GBK"/>
          <w:color w:val="auto"/>
          <w:sz w:val="32"/>
          <w:szCs w:val="32"/>
          <w:highlight w:val="none"/>
        </w:rPr>
      </w:pPr>
      <w:r>
        <w:rPr>
          <w:rFonts w:hint="eastAsia" w:ascii="方正小标宋_GBK" w:hAnsi="方正小标宋_GBK" w:eastAsia="方正小标宋_GBK" w:cs="方正小标宋_GBK"/>
          <w:color w:val="auto"/>
          <w:sz w:val="32"/>
          <w:szCs w:val="32"/>
          <w:highlight w:val="none"/>
          <w:u w:val="single"/>
          <w:lang w:val="en-US" w:eastAsia="zh-CN"/>
        </w:rPr>
        <w:t>石家庄机场二期改扩建工程建筑物质量安全检测鉴定</w:t>
      </w:r>
      <w:r>
        <w:rPr>
          <w:rFonts w:hint="eastAsia" w:ascii="方正小标宋_GBK" w:hAnsi="方正小标宋_GBK" w:eastAsia="方正小标宋_GBK" w:cs="方正小标宋_GBK"/>
          <w:color w:val="auto"/>
          <w:sz w:val="32"/>
          <w:szCs w:val="32"/>
          <w:highlight w:val="none"/>
        </w:rPr>
        <w:t>项目</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谈判参选文件</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32"/>
          <w:szCs w:val="32"/>
          <w:highlight w:val="none"/>
        </w:rPr>
      </w:pPr>
      <w:r>
        <w:rPr>
          <w:rFonts w:hint="eastAsia" w:ascii="宋体" w:hAnsi="宋体" w:cs="宋体"/>
          <w:color w:val="auto"/>
          <w:sz w:val="32"/>
          <w:szCs w:val="32"/>
          <w:highlight w:val="none"/>
        </w:rPr>
        <w:t>供应商：（盖单位章）</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法定代表人或其委托代理人：（签字）</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年</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月</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shd w:val="clear" w:color="auto" w:fill="FFFFFF"/>
        </w:rPr>
        <w:t>法人代表授权委托书</w:t>
      </w:r>
      <w:r>
        <w:rPr>
          <w:rFonts w:hint="eastAsia" w:ascii="宋体" w:hAnsi="宋体" w:eastAsia="宋体" w:cs="宋体"/>
          <w:color w:val="auto"/>
          <w:sz w:val="28"/>
          <w:szCs w:val="28"/>
          <w:highlight w:val="none"/>
          <w:shd w:val="clear" w:color="auto" w:fill="FFFFFF"/>
          <w:lang w:val="en-US" w:eastAsia="zh-CN"/>
        </w:rPr>
        <w:t>及法人及其法人代表的身份证复印件</w:t>
      </w:r>
      <w:r>
        <w:rPr>
          <w:rFonts w:hint="eastAsia" w:ascii="宋体" w:hAnsi="宋体" w:eastAsia="宋体" w:cs="宋体"/>
          <w:color w:val="auto"/>
          <w:sz w:val="28"/>
          <w:szCs w:val="28"/>
          <w:highlight w:val="none"/>
          <w:shd w:val="clear" w:color="auto" w:fill="FFFFFF"/>
        </w:rPr>
        <w:t>（若法人参加则无需</w:t>
      </w:r>
      <w:r>
        <w:rPr>
          <w:rFonts w:hint="eastAsia" w:ascii="宋体" w:hAnsi="宋体" w:eastAsia="宋体" w:cs="宋体"/>
          <w:color w:val="auto"/>
          <w:sz w:val="28"/>
          <w:szCs w:val="28"/>
          <w:highlight w:val="none"/>
          <w:shd w:val="clear" w:color="auto" w:fill="FFFFFF"/>
          <w:lang w:val="en-US" w:eastAsia="zh-CN"/>
        </w:rPr>
        <w:t>提供</w:t>
      </w:r>
      <w:r>
        <w:rPr>
          <w:rFonts w:hint="eastAsia" w:ascii="宋体" w:hAnsi="宋体" w:eastAsia="宋体" w:cs="宋体"/>
          <w:color w:val="auto"/>
          <w:sz w:val="28"/>
          <w:szCs w:val="28"/>
          <w:highlight w:val="none"/>
          <w:shd w:val="clear" w:color="auto" w:fill="FFFFFF"/>
        </w:rPr>
        <w:t>授权委托书</w:t>
      </w:r>
      <w:r>
        <w:rPr>
          <w:rFonts w:hint="eastAsia" w:ascii="宋体" w:hAnsi="宋体" w:eastAsia="宋体" w:cs="宋体"/>
          <w:color w:val="auto"/>
          <w:sz w:val="28"/>
          <w:szCs w:val="28"/>
          <w:highlight w:val="none"/>
          <w:shd w:val="clear" w:color="auto" w:fill="FFFFFF"/>
          <w:lang w:eastAsia="zh-CN"/>
        </w:rPr>
        <w:t>，</w:t>
      </w:r>
      <w:r>
        <w:rPr>
          <w:rFonts w:hint="eastAsia" w:ascii="宋体" w:hAnsi="宋体" w:eastAsia="宋体" w:cs="宋体"/>
          <w:color w:val="auto"/>
          <w:sz w:val="28"/>
          <w:szCs w:val="28"/>
          <w:highlight w:val="none"/>
          <w:shd w:val="clear" w:color="auto" w:fill="FFFFFF"/>
          <w:lang w:val="en-US" w:eastAsia="zh-CN"/>
        </w:rPr>
        <w:t>但须提供法人的身份证复印件</w:t>
      </w:r>
      <w:r>
        <w:rPr>
          <w:rFonts w:hint="eastAsia" w:ascii="宋体" w:hAnsi="宋体" w:eastAsia="宋体" w:cs="宋体"/>
          <w:color w:val="auto"/>
          <w:sz w:val="28"/>
          <w:szCs w:val="28"/>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三、供应商简介及资质证明文件，逐项列出（第二章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四、供应商承诺函（含售后服务响应情况等相关内容）；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五、技术文件（逐项列出《第三章 内容及技术要求》各项目的响应情况）；</w:t>
      </w:r>
    </w:p>
    <w:p>
      <w:pPr>
        <w:spacing w:line="360" w:lineRule="auto"/>
        <w:outlineLvl w:val="0"/>
        <w:rPr>
          <w:rFonts w:hint="eastAsia" w:ascii="仿宋_GB2312" w:hAnsi="仿宋_GB2312" w:eastAsia="仿宋_GB2312" w:cs="仿宋_GB2312"/>
          <w:color w:val="auto"/>
          <w:sz w:val="32"/>
          <w:szCs w:val="32"/>
          <w:highlight w:val="none"/>
        </w:rPr>
      </w:pPr>
    </w:p>
    <w:p>
      <w:pPr>
        <w:spacing w:line="360" w:lineRule="auto"/>
        <w:outlineLvl w:val="0"/>
        <w:rPr>
          <w:rFonts w:ascii="宋体"/>
          <w:color w:val="auto"/>
          <w:sz w:val="24"/>
          <w:highlight w:val="none"/>
        </w:rPr>
      </w:pP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一、报价说明书：</w:t>
      </w:r>
    </w:p>
    <w:p>
      <w:pPr>
        <w:spacing w:line="360" w:lineRule="auto"/>
        <w:jc w:val="center"/>
        <w:outlineLvl w:val="0"/>
        <w:rPr>
          <w:rFonts w:hint="eastAsia" w:ascii="宋体" w:hAnsi="宋体" w:cs="宋体"/>
          <w:color w:val="auto"/>
          <w:sz w:val="44"/>
          <w:szCs w:val="44"/>
          <w:highlight w:val="none"/>
        </w:rPr>
      </w:pPr>
      <w:r>
        <w:rPr>
          <w:rFonts w:hint="eastAsia" w:ascii="宋体" w:hAnsi="宋体" w:cs="宋体"/>
          <w:color w:val="auto"/>
          <w:sz w:val="44"/>
          <w:szCs w:val="44"/>
          <w:highlight w:val="none"/>
        </w:rPr>
        <w:t>报价说明书</w:t>
      </w: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ascii="宋体"/>
          <w:color w:val="auto"/>
          <w:sz w:val="28"/>
          <w:szCs w:val="28"/>
          <w:highlight w:val="none"/>
        </w:rPr>
      </w:pPr>
      <w:r>
        <w:rPr>
          <w:rFonts w:hint="eastAsia" w:ascii="宋体" w:hAnsi="宋体" w:eastAsia="宋体" w:cs="宋体"/>
          <w:color w:val="auto"/>
          <w:sz w:val="28"/>
          <w:szCs w:val="28"/>
          <w:highlight w:val="none"/>
        </w:rPr>
        <w:t>我方收到贵方编制的《</w:t>
      </w:r>
      <w:r>
        <w:rPr>
          <w:rFonts w:hint="eastAsia" w:ascii="宋体" w:hAnsi="宋体" w:eastAsia="宋体" w:cs="宋体"/>
          <w:color w:val="auto"/>
          <w:sz w:val="28"/>
          <w:szCs w:val="28"/>
          <w:highlight w:val="none"/>
          <w:u w:val="single"/>
          <w:lang w:val="en-US" w:eastAsia="zh-CN"/>
        </w:rPr>
        <w:t>石家庄机场二期改扩建工程建筑物质量安全检测鉴定</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经研究，决定自愿参加该项目的采购活动，并同意和承诺自觉遵守采购文件中的各项要求。</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1、我方全面研究了项目采购文件，并能够正确理解其全部内容。我方根据采购文件中采购项目的要求进行了测算，对采购项目的初步报价总额见我单位制作的《报价一览表》；我单位的报价含</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现场检测、剔凿、车辆、人工及进撤场费用，运输、安装、调试、培训以及与本项目有关涉及到的所有附属设施设备等全部费用。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2、我方同意自行承担我方在参与本次采购活动过程中所发生的一切费用。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3、我方现提交的谈判文件三份。“正本”一份，“副本”两份。</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法定代表人（代理人）姓名：</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法定代表人（代理人）身份证号：</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单位名称（盖章）：</w:t>
      </w:r>
    </w:p>
    <w:p>
      <w:pPr>
        <w:spacing w:line="360" w:lineRule="auto"/>
        <w:outlineLvl w:val="0"/>
        <w:rPr>
          <w:rFonts w:ascii="宋体"/>
          <w:color w:val="auto"/>
          <w:sz w:val="28"/>
          <w:szCs w:val="28"/>
          <w:highlight w:val="none"/>
        </w:rPr>
      </w:pPr>
    </w:p>
    <w:p>
      <w:pPr>
        <w:spacing w:line="360" w:lineRule="auto"/>
        <w:ind w:firstLine="6440" w:firstLineChars="2300"/>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pPr>
    </w:p>
    <w:p>
      <w:pPr>
        <w:spacing w:line="360" w:lineRule="auto"/>
        <w:rPr>
          <w:rFonts w:ascii="Times New Roman" w:eastAsia="宋体"/>
          <w:color w:val="auto"/>
          <w:szCs w:val="24"/>
          <w:highlight w:val="none"/>
        </w:rPr>
      </w:pPr>
      <w:r>
        <w:rPr>
          <w:rFonts w:hint="eastAsia" w:ascii="仿宋_GB2312" w:eastAsia="仿宋_GB2312"/>
          <w:color w:val="auto"/>
          <w:sz w:val="32"/>
          <w:szCs w:val="32"/>
          <w:highlight w:val="none"/>
        </w:rPr>
        <w:t>附件：1</w:t>
      </w:r>
    </w:p>
    <w:p>
      <w:pPr>
        <w:spacing w:line="360" w:lineRule="auto"/>
        <w:jc w:val="both"/>
        <w:rPr>
          <w:rFonts w:ascii="方正小标宋_GBK" w:hAnsi="宋体" w:eastAsia="方正小标宋_GBK" w:cs="宋体"/>
          <w:color w:val="auto"/>
          <w:sz w:val="32"/>
          <w:szCs w:val="32"/>
          <w:highlight w:val="none"/>
        </w:rPr>
      </w:pPr>
      <w:r>
        <w:rPr>
          <w:rFonts w:hint="eastAsia" w:ascii="方正小标宋_GBK" w:hAnsi="宋体" w:eastAsia="方正小标宋_GBK" w:cs="宋体"/>
          <w:color w:val="auto"/>
          <w:sz w:val="32"/>
          <w:szCs w:val="32"/>
          <w:highlight w:val="none"/>
          <w:u w:val="single"/>
          <w:lang w:val="en-US" w:eastAsia="zh-CN"/>
        </w:rPr>
        <w:t>石家庄机场二期改扩建工程建筑物质量安全检测鉴定</w:t>
      </w:r>
      <w:r>
        <w:rPr>
          <w:rFonts w:hint="eastAsia" w:ascii="方正小标宋_GBK" w:hAnsi="宋体" w:eastAsia="方正小标宋_GBK" w:cs="宋体"/>
          <w:color w:val="auto"/>
          <w:sz w:val="32"/>
          <w:szCs w:val="32"/>
          <w:highlight w:val="none"/>
          <w:u w:val="single"/>
          <w:lang w:eastAsia="zh-CN"/>
        </w:rPr>
        <w:t>项目</w:t>
      </w:r>
      <w:r>
        <w:rPr>
          <w:rFonts w:hint="eastAsia" w:ascii="方正小标宋_GBK" w:hAnsi="宋体" w:eastAsia="方正小标宋_GBK" w:cs="宋体"/>
          <w:color w:val="auto"/>
          <w:sz w:val="32"/>
          <w:szCs w:val="32"/>
          <w:highlight w:val="none"/>
        </w:rPr>
        <w:t>报价函</w:t>
      </w:r>
    </w:p>
    <w:tbl>
      <w:tblPr>
        <w:tblStyle w:val="9"/>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0"/>
        <w:gridCol w:w="6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trPr>
        <w:tc>
          <w:tcPr>
            <w:tcW w:w="2790"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单位名称及地址</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trPr>
        <w:tc>
          <w:tcPr>
            <w:tcW w:w="2790"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纳税人识别号</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总报价</w:t>
            </w:r>
          </w:p>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both"/>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color w:val="auto"/>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both"/>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color w:val="auto"/>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both"/>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2790"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不含增值税净价</w:t>
            </w:r>
          </w:p>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both"/>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color w:val="auto"/>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both"/>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2790"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联系人及电话</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left"/>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atLeast"/>
        </w:trPr>
        <w:tc>
          <w:tcPr>
            <w:tcW w:w="2790"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eastAsia" w:ascii="Times New Roman" w:hAnsi="Times New Roman" w:eastAsia="宋体"/>
                <w:color w:val="auto"/>
                <w:sz w:val="24"/>
                <w:szCs w:val="24"/>
                <w:highlight w:val="none"/>
                <w:lang w:eastAsia="zh-CN"/>
              </w:rPr>
            </w:pPr>
            <w:r>
              <w:rPr>
                <w:rFonts w:hint="eastAsia" w:ascii="Times New Roman" w:hAnsi="Times New Roman"/>
                <w:color w:val="auto"/>
                <w:sz w:val="24"/>
                <w:szCs w:val="24"/>
                <w:highlight w:val="none"/>
                <w:lang w:eastAsia="zh-CN"/>
              </w:rPr>
              <w:t>工期</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left"/>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2790"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备注</w:t>
            </w:r>
          </w:p>
        </w:tc>
        <w:tc>
          <w:tcPr>
            <w:tcW w:w="6609"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left"/>
              <w:rPr>
                <w:rFonts w:hint="default" w:ascii="Times New Roman" w:hAnsi="Times New Roman"/>
                <w:color w:val="auto"/>
                <w:sz w:val="24"/>
                <w:szCs w:val="24"/>
                <w:highlight w:val="none"/>
              </w:rPr>
            </w:pPr>
          </w:p>
        </w:tc>
      </w:tr>
    </w:tbl>
    <w:p>
      <w:pPr>
        <w:spacing w:line="360" w:lineRule="auto"/>
        <w:rPr>
          <w:rFonts w:ascii="Times New Roman" w:hAnsi="Times New Roman" w:eastAsia="宋体" w:cs="Times New Roman"/>
          <w:color w:val="auto"/>
          <w:szCs w:val="24"/>
          <w:highlight w:val="none"/>
        </w:rPr>
      </w:pPr>
    </w:p>
    <w:p>
      <w:pPr>
        <w:spacing w:line="360" w:lineRule="auto"/>
        <w:jc w:val="right"/>
        <w:rPr>
          <w:color w:val="auto"/>
          <w:sz w:val="32"/>
          <w:szCs w:val="32"/>
          <w:highlight w:val="none"/>
        </w:rPr>
      </w:pPr>
      <w:r>
        <w:rPr>
          <w:rFonts w:hint="eastAsia"/>
          <w:color w:val="auto"/>
          <w:sz w:val="32"/>
          <w:szCs w:val="32"/>
          <w:highlight w:val="none"/>
        </w:rPr>
        <w:t>单位名称：（盖章）</w:t>
      </w:r>
    </w:p>
    <w:p>
      <w:pPr>
        <w:spacing w:line="360" w:lineRule="auto"/>
        <w:jc w:val="right"/>
        <w:rPr>
          <w:color w:val="auto"/>
          <w:sz w:val="32"/>
          <w:szCs w:val="32"/>
          <w:highlight w:val="none"/>
        </w:rPr>
      </w:pPr>
    </w:p>
    <w:p>
      <w:pPr>
        <w:spacing w:line="360" w:lineRule="auto"/>
        <w:jc w:val="right"/>
        <w:rPr>
          <w:color w:val="auto"/>
          <w:sz w:val="32"/>
          <w:szCs w:val="32"/>
          <w:highlight w:val="none"/>
        </w:rPr>
      </w:pPr>
      <w:r>
        <w:rPr>
          <w:rFonts w:hint="eastAsia"/>
          <w:color w:val="auto"/>
          <w:sz w:val="32"/>
          <w:szCs w:val="32"/>
          <w:highlight w:val="none"/>
        </w:rPr>
        <w:t>年</w:t>
      </w:r>
      <w:r>
        <w:rPr>
          <w:rFonts w:hint="eastAsia"/>
          <w:color w:val="auto"/>
          <w:sz w:val="32"/>
          <w:szCs w:val="32"/>
          <w:highlight w:val="none"/>
          <w:lang w:val="en-US" w:eastAsia="zh-CN"/>
        </w:rPr>
        <w:t xml:space="preserve">  </w:t>
      </w:r>
      <w:r>
        <w:rPr>
          <w:rFonts w:hint="eastAsia"/>
          <w:color w:val="auto"/>
          <w:sz w:val="32"/>
          <w:szCs w:val="32"/>
          <w:highlight w:val="none"/>
        </w:rPr>
        <w:t>月</w:t>
      </w:r>
      <w:r>
        <w:rPr>
          <w:rFonts w:hint="eastAsia"/>
          <w:color w:val="auto"/>
          <w:sz w:val="32"/>
          <w:szCs w:val="32"/>
          <w:highlight w:val="none"/>
          <w:lang w:val="en-US" w:eastAsia="zh-CN"/>
        </w:rPr>
        <w:t xml:space="preserve">  </w:t>
      </w:r>
      <w:r>
        <w:rPr>
          <w:rFonts w:hint="eastAsia"/>
          <w:color w:val="auto"/>
          <w:sz w:val="32"/>
          <w:szCs w:val="32"/>
          <w:highlight w:val="none"/>
        </w:rPr>
        <w:t>日</w:t>
      </w:r>
    </w:p>
    <w:p>
      <w:pPr>
        <w:spacing w:line="360" w:lineRule="auto"/>
        <w:rPr>
          <w:rFonts w:ascii="仿宋_GB2312" w:eastAsia="仿宋_GB2312"/>
          <w:color w:val="auto"/>
          <w:sz w:val="32"/>
          <w:szCs w:val="32"/>
          <w:highlight w:val="none"/>
        </w:rPr>
      </w:pPr>
    </w:p>
    <w:p>
      <w:pPr>
        <w:spacing w:line="360" w:lineRule="auto"/>
        <w:rPr>
          <w:rFonts w:ascii="宋体"/>
          <w:color w:val="auto"/>
          <w:sz w:val="24"/>
          <w:highlight w:val="none"/>
        </w:rPr>
      </w:pPr>
      <w:r>
        <w:rPr>
          <w:rFonts w:hint="eastAsia" w:ascii="宋体" w:hAnsi="宋体" w:cs="宋体"/>
          <w:color w:val="auto"/>
          <w:sz w:val="24"/>
          <w:highlight w:val="none"/>
        </w:rPr>
        <w:t>注：此表应按</w:t>
      </w:r>
      <w:r>
        <w:rPr>
          <w:rFonts w:hint="eastAsia" w:ascii="宋体" w:cs="宋体"/>
          <w:color w:val="auto"/>
          <w:sz w:val="24"/>
          <w:highlight w:val="none"/>
        </w:rPr>
        <w:t>“</w:t>
      </w:r>
      <w:r>
        <w:rPr>
          <w:rFonts w:hint="eastAsia" w:ascii="宋体" w:hAnsi="宋体" w:cs="宋体"/>
          <w:color w:val="auto"/>
          <w:sz w:val="24"/>
          <w:highlight w:val="none"/>
        </w:rPr>
        <w:t>谈判须知</w:t>
      </w:r>
      <w:r>
        <w:rPr>
          <w:rFonts w:hint="eastAsia" w:ascii="宋体" w:cs="宋体"/>
          <w:color w:val="auto"/>
          <w:sz w:val="24"/>
          <w:highlight w:val="none"/>
        </w:rPr>
        <w:t>”</w:t>
      </w:r>
      <w:r>
        <w:rPr>
          <w:rFonts w:hint="eastAsia" w:ascii="宋体" w:hAnsi="宋体" w:cs="宋体"/>
          <w:color w:val="auto"/>
          <w:sz w:val="24"/>
          <w:highlight w:val="none"/>
        </w:rPr>
        <w:t>的规定密封标记提交。</w:t>
      </w:r>
    </w:p>
    <w:p>
      <w:pPr>
        <w:widowControl/>
        <w:spacing w:line="360" w:lineRule="auto"/>
        <w:jc w:val="left"/>
        <w:rPr>
          <w:rFonts w:ascii="宋体"/>
          <w:color w:val="auto"/>
          <w:highlight w:val="none"/>
        </w:rPr>
        <w:sectPr>
          <w:pgSz w:w="11905" w:h="16840"/>
          <w:pgMar w:top="1418" w:right="1134"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二、法人代表授权书：</w:t>
      </w:r>
    </w:p>
    <w:p>
      <w:pPr>
        <w:spacing w:line="360" w:lineRule="auto"/>
        <w:jc w:val="center"/>
        <w:outlineLvl w:val="0"/>
        <w:rPr>
          <w:rFonts w:ascii="宋体"/>
          <w:color w:val="auto"/>
          <w:sz w:val="44"/>
          <w:szCs w:val="44"/>
          <w:highlight w:val="none"/>
        </w:rPr>
      </w:pPr>
      <w:r>
        <w:rPr>
          <w:rFonts w:hint="eastAsia" w:ascii="宋体" w:hAnsi="宋体" w:cs="宋体"/>
          <w:color w:val="auto"/>
          <w:sz w:val="44"/>
          <w:szCs w:val="44"/>
          <w:highlight w:val="none"/>
        </w:rPr>
        <w:t>法人代表授权委托书</w:t>
      </w:r>
    </w:p>
    <w:p>
      <w:pPr>
        <w:spacing w:line="360" w:lineRule="auto"/>
        <w:outlineLvl w:val="0"/>
        <w:rPr>
          <w:rFonts w:ascii="宋体"/>
          <w:color w:val="auto"/>
          <w:sz w:val="28"/>
          <w:szCs w:val="28"/>
          <w:highlight w:val="none"/>
        </w:rPr>
      </w:pP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hint="eastAsia" w:ascii="宋体" w:hAnsi="宋体" w:eastAsia="宋体" w:cs="宋体"/>
          <w:color w:val="auto"/>
          <w:sz w:val="28"/>
          <w:szCs w:val="28"/>
          <w:highlight w:val="none"/>
        </w:rPr>
      </w:pPr>
      <w:r>
        <w:rPr>
          <w:rFonts w:hint="eastAsia" w:ascii="宋体" w:hAnsi="宋体" w:cs="宋体"/>
          <w:color w:val="auto"/>
          <w:sz w:val="28"/>
          <w:szCs w:val="28"/>
          <w:highlight w:val="none"/>
        </w:rPr>
        <w:t>（谈判供应商企业名称）法定代表人授权我单位（职务或职称） （姓名）为我单位本次谈判授权代理人</w:t>
      </w:r>
      <w:r>
        <w:rPr>
          <w:rFonts w:hint="eastAsia" w:ascii="宋体" w:hAnsi="宋体" w:eastAsia="宋体" w:cs="宋体"/>
          <w:color w:val="auto"/>
          <w:sz w:val="28"/>
          <w:szCs w:val="28"/>
          <w:highlight w:val="none"/>
        </w:rPr>
        <w:t>，全权处理</w:t>
      </w:r>
      <w:r>
        <w:rPr>
          <w:rFonts w:hint="eastAsia" w:ascii="宋体" w:hAnsi="宋体" w:eastAsia="宋体" w:cs="宋体"/>
          <w:color w:val="auto"/>
          <w:sz w:val="28"/>
          <w:szCs w:val="28"/>
          <w:highlight w:val="none"/>
          <w:u w:val="single"/>
        </w:rPr>
        <w:t>石家庄机场二期改扩建工程建筑物</w:t>
      </w:r>
      <w:r>
        <w:rPr>
          <w:rFonts w:hint="eastAsia" w:ascii="宋体" w:hAnsi="宋体" w:eastAsia="宋体" w:cs="宋体"/>
          <w:color w:val="auto"/>
          <w:sz w:val="28"/>
          <w:szCs w:val="28"/>
          <w:highlight w:val="none"/>
          <w:u w:val="single"/>
          <w:lang w:eastAsia="zh-CN"/>
        </w:rPr>
        <w:t>质量安全检测鉴定项目</w:t>
      </w:r>
      <w:r>
        <w:rPr>
          <w:rFonts w:hint="eastAsia" w:ascii="宋体" w:hAnsi="宋体" w:eastAsia="宋体" w:cs="宋体"/>
          <w:color w:val="auto"/>
          <w:sz w:val="28"/>
          <w:szCs w:val="28"/>
          <w:highlight w:val="none"/>
        </w:rPr>
        <w:t>谈判活动的一切事宜。该授权代理人作出的所有承诺说明，我单位均予于认可并承担全部责任。</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 xml:space="preserve"> 委托代理人在本次采购活动中所签订的一切文件和处理的与本次谈判有关的一切事项，本法定代表人均予以确认，其文件效力不因今后授权</w:t>
      </w:r>
      <w:r>
        <w:rPr>
          <w:rFonts w:hint="eastAsia" w:ascii="宋体" w:hAnsi="宋体" w:cs="宋体"/>
          <w:color w:val="auto"/>
          <w:sz w:val="28"/>
          <w:szCs w:val="28"/>
          <w:highlight w:val="none"/>
          <w:lang w:eastAsia="zh-CN"/>
        </w:rPr>
        <w:t>的撤销</w:t>
      </w:r>
      <w:r>
        <w:rPr>
          <w:rFonts w:hint="eastAsia" w:ascii="宋体" w:hAnsi="宋体" w:cs="宋体"/>
          <w:color w:val="auto"/>
          <w:sz w:val="28"/>
          <w:szCs w:val="28"/>
          <w:highlight w:val="none"/>
        </w:rPr>
        <w:t>而失效。委托代理人无再转委托权。</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本授权委托书在采购活动结束后自动终止。</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560" w:firstLineChars="200"/>
        <w:outlineLvl w:val="0"/>
        <w:rPr>
          <w:rFonts w:ascii="宋体"/>
          <w:color w:val="auto"/>
          <w:sz w:val="28"/>
          <w:szCs w:val="28"/>
          <w:highlight w:val="none"/>
        </w:rPr>
      </w:pPr>
    </w:p>
    <w:p>
      <w:pPr>
        <w:spacing w:line="360" w:lineRule="auto"/>
        <w:jc w:val="right"/>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numPr>
          <w:ilvl w:val="0"/>
          <w:numId w:val="3"/>
        </w:numPr>
        <w:spacing w:line="360" w:lineRule="auto"/>
        <w:ind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供应商简介及资质证明文件，逐项列出（第二章 谈判须知 二、供应商资格要求）各项目的响应情况；</w:t>
      </w:r>
    </w:p>
    <w:p>
      <w:pPr>
        <w:pStyle w:val="8"/>
        <w:numPr>
          <w:ilvl w:val="0"/>
          <w:numId w:val="0"/>
        </w:numPr>
        <w:rPr>
          <w:color w:val="auto"/>
          <w:highlight w:val="none"/>
        </w:rPr>
      </w:pPr>
    </w:p>
    <w:p>
      <w:pPr>
        <w:numPr>
          <w:ilvl w:val="0"/>
          <w:numId w:val="3"/>
        </w:numPr>
        <w:spacing w:line="360" w:lineRule="auto"/>
        <w:ind w:left="0" w:leftChars="0"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供应商承诺函（含售后服务响应情况等相关内容）；</w:t>
      </w:r>
    </w:p>
    <w:p>
      <w:pPr>
        <w:pStyle w:val="8"/>
        <w:numPr>
          <w:ilvl w:val="0"/>
          <w:numId w:val="0"/>
        </w:numPr>
        <w:rPr>
          <w:color w:val="auto"/>
          <w:highlight w:val="none"/>
        </w:rPr>
      </w:pPr>
    </w:p>
    <w:p>
      <w:pPr>
        <w:spacing w:line="360" w:lineRule="auto"/>
        <w:ind w:firstLine="560" w:firstLineChars="200"/>
        <w:jc w:val="left"/>
        <w:outlineLvl w:val="0"/>
        <w:rPr>
          <w:rFonts w:ascii="宋体"/>
          <w:color w:val="auto"/>
          <w:sz w:val="28"/>
          <w:szCs w:val="28"/>
          <w:highlight w:val="none"/>
        </w:rPr>
      </w:pPr>
      <w:r>
        <w:rPr>
          <w:rFonts w:hint="eastAsia" w:ascii="宋体" w:hAnsi="宋体" w:cs="宋体"/>
          <w:color w:val="auto"/>
          <w:sz w:val="28"/>
          <w:szCs w:val="28"/>
          <w:highlight w:val="none"/>
        </w:rPr>
        <w:t>五、技术文件（逐项列出《第三章 内容及技术要求》各项目的响应情况）；</w:t>
      </w:r>
    </w:p>
    <w:p>
      <w:pPr>
        <w:spacing w:line="360" w:lineRule="auto"/>
        <w:ind w:firstLine="560" w:firstLineChars="200"/>
        <w:jc w:val="left"/>
        <w:outlineLvl w:val="0"/>
        <w:rPr>
          <w:rFonts w:ascii="宋体"/>
          <w:color w:val="auto"/>
          <w:sz w:val="28"/>
          <w:szCs w:val="28"/>
          <w:highlight w:val="none"/>
        </w:rPr>
      </w:pPr>
    </w:p>
    <w:p>
      <w:pPr>
        <w:spacing w:line="360" w:lineRule="auto"/>
        <w:ind w:firstLine="560" w:firstLineChars="200"/>
        <w:jc w:val="left"/>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widowControl/>
        <w:spacing w:line="360" w:lineRule="auto"/>
        <w:jc w:val="left"/>
        <w:rPr>
          <w:rFonts w:ascii="宋体"/>
          <w:color w:val="auto"/>
          <w:sz w:val="44"/>
          <w:szCs w:val="44"/>
          <w:highlight w:val="none"/>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第</w:t>
      </w:r>
      <w:r>
        <w:rPr>
          <w:rFonts w:hint="eastAsia" w:ascii="宋体" w:hAnsi="宋体" w:cs="宋体"/>
          <w:color w:val="auto"/>
          <w:sz w:val="44"/>
          <w:szCs w:val="44"/>
          <w:highlight w:val="none"/>
          <w:lang w:val="en-US" w:eastAsia="zh-CN"/>
        </w:rPr>
        <w:t>五</w:t>
      </w:r>
      <w:r>
        <w:rPr>
          <w:rFonts w:hint="eastAsia" w:ascii="宋体" w:hAnsi="宋体" w:cs="宋体"/>
          <w:color w:val="auto"/>
          <w:sz w:val="44"/>
          <w:szCs w:val="44"/>
          <w:highlight w:val="none"/>
        </w:rPr>
        <w:t>章  供应商参选确认函</w:t>
      </w:r>
    </w:p>
    <w:p>
      <w:pPr>
        <w:spacing w:line="360" w:lineRule="auto"/>
        <w:ind w:firstLine="880" w:firstLineChars="200"/>
        <w:jc w:val="center"/>
        <w:outlineLvl w:val="0"/>
        <w:rPr>
          <w:rFonts w:ascii="宋体"/>
          <w:color w:val="auto"/>
          <w:sz w:val="44"/>
          <w:szCs w:val="44"/>
          <w:highlight w:val="none"/>
        </w:r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供应商参选确认函</w:t>
      </w:r>
    </w:p>
    <w:p>
      <w:pPr>
        <w:spacing w:line="360" w:lineRule="auto"/>
        <w:ind w:firstLine="198"/>
        <w:jc w:val="center"/>
        <w:outlineLvl w:val="0"/>
        <w:rPr>
          <w:rFonts w:ascii="宋体"/>
          <w:color w:val="auto"/>
          <w:sz w:val="44"/>
          <w:szCs w:val="44"/>
          <w:highlight w:val="none"/>
        </w:rPr>
      </w:pPr>
      <w:r>
        <w:rPr>
          <w:rFonts w:hint="eastAsia" w:ascii="宋体" w:hAnsi="宋体" w:cs="宋体"/>
          <w:color w:val="auto"/>
          <w:sz w:val="44"/>
          <w:szCs w:val="44"/>
          <w:highlight w:val="none"/>
        </w:rPr>
        <w:t>（</w:t>
      </w:r>
      <w:r>
        <w:rPr>
          <w:rFonts w:hint="eastAsia" w:ascii="宋体" w:hAnsi="宋体" w:cs="宋体"/>
          <w:color w:val="auto"/>
          <w:sz w:val="28"/>
          <w:szCs w:val="28"/>
          <w:highlight w:val="none"/>
        </w:rPr>
        <w:t>本确认函需在递交响应性文件截止时间前一日交回</w:t>
      </w:r>
      <w:r>
        <w:rPr>
          <w:rFonts w:hint="eastAsia" w:ascii="宋体" w:hAnsi="宋体" w:cs="宋体"/>
          <w:color w:val="auto"/>
          <w:sz w:val="44"/>
          <w:szCs w:val="44"/>
          <w:highlight w:val="none"/>
        </w:rPr>
        <w:t>）</w:t>
      </w:r>
    </w:p>
    <w:p>
      <w:pPr>
        <w:spacing w:line="360" w:lineRule="auto"/>
        <w:ind w:firstLine="200"/>
        <w:jc w:val="center"/>
        <w:outlineLvl w:val="0"/>
        <w:rPr>
          <w:rFonts w:ascii="宋体"/>
          <w:color w:val="auto"/>
          <w:sz w:val="44"/>
          <w:szCs w:val="44"/>
          <w:highlight w:val="none"/>
        </w:rPr>
      </w:pP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u w:val="single"/>
          <w:lang w:val="en-US" w:eastAsia="zh-CN"/>
        </w:rPr>
        <w:t>河北机场管理集团有限公司建设项目管理指挥部</w:t>
      </w:r>
      <w:r>
        <w:rPr>
          <w:rFonts w:hint="eastAsia" w:ascii="宋体" w:hAnsi="宋体" w:cs="宋体"/>
          <w:color w:val="auto"/>
          <w:sz w:val="28"/>
          <w:szCs w:val="28"/>
          <w:highlight w:val="none"/>
        </w:rPr>
        <w:t>：</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w:t>
      </w:r>
      <w:r>
        <w:rPr>
          <w:rFonts w:hint="eastAsia" w:ascii="宋体" w:hAnsi="宋体" w:cs="宋体"/>
          <w:color w:val="auto"/>
          <w:sz w:val="28"/>
          <w:szCs w:val="28"/>
          <w:highlight w:val="none"/>
          <w:lang w:eastAsia="zh-CN"/>
        </w:rPr>
        <w:t>本公司已</w:t>
      </w:r>
      <w:r>
        <w:rPr>
          <w:rFonts w:hint="eastAsia" w:ascii="宋体" w:hAnsi="宋体" w:cs="宋体"/>
          <w:color w:val="auto"/>
          <w:sz w:val="28"/>
          <w:szCs w:val="28"/>
          <w:highlight w:val="none"/>
        </w:rPr>
        <w:t>获得你部制发的</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lang w:val="en-US" w:eastAsia="zh-CN"/>
        </w:rPr>
        <w:t>石家庄机场二期改扩建工程建筑物质量安全检测鉴定</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。按文件要求，经研究本公司决定参加此次谈判活动。</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为此，特以书面方式向贵公司递交本谈判确认书予以确认。</w:t>
      </w: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联系人：</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p>
    <w:p>
      <w:pPr>
        <w:spacing w:line="360" w:lineRule="auto"/>
        <w:ind w:firstLine="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200"/>
        <w:outlineLvl w:val="0"/>
        <w:rPr>
          <w:rFonts w:ascii="宋体"/>
          <w:color w:val="auto"/>
          <w:sz w:val="28"/>
          <w:szCs w:val="28"/>
          <w:highlight w:val="none"/>
        </w:rPr>
      </w:pPr>
    </w:p>
    <w:p>
      <w:pPr>
        <w:spacing w:line="360" w:lineRule="auto"/>
        <w:ind w:firstLine="1400" w:firstLineChars="500"/>
        <w:outlineLvl w:val="0"/>
        <w:rPr>
          <w:rFonts w:ascii="宋体"/>
          <w:color w:val="auto"/>
          <w:sz w:val="28"/>
          <w:szCs w:val="28"/>
          <w:highlight w:val="none"/>
        </w:rPr>
      </w:pPr>
      <w:r>
        <w:rPr>
          <w:rFonts w:hint="eastAsia" w:ascii="宋体" w:hAnsi="宋体" w:cs="宋体"/>
          <w:color w:val="auto"/>
          <w:sz w:val="28"/>
          <w:szCs w:val="28"/>
          <w:highlight w:val="none"/>
        </w:rPr>
        <w:t>年       月      日</w:t>
      </w:r>
      <w:bookmarkEnd w:id="0"/>
      <w:bookmarkEnd w:id="1"/>
      <w:bookmarkEnd w:id="2"/>
      <w:bookmarkEnd w:id="4"/>
      <w:bookmarkEnd w:id="5"/>
      <w:bookmarkEnd w:id="6"/>
      <w:bookmarkEnd w:id="7"/>
      <w:bookmarkEnd w:id="8"/>
    </w:p>
    <w:p>
      <w:pPr>
        <w:spacing w:line="360" w:lineRule="auto"/>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84F17"/>
    <w:multiLevelType w:val="singleLevel"/>
    <w:tmpl w:val="81F84F17"/>
    <w:lvl w:ilvl="0" w:tentative="0">
      <w:start w:val="2"/>
      <w:numFmt w:val="chineseCounting"/>
      <w:suff w:val="space"/>
      <w:lvlText w:val="第%1章"/>
      <w:lvlJc w:val="left"/>
      <w:rPr>
        <w:rFonts w:hint="eastAsia"/>
      </w:rPr>
    </w:lvl>
  </w:abstractNum>
  <w:abstractNum w:abstractNumId="1">
    <w:nsid w:val="DAB332C1"/>
    <w:multiLevelType w:val="multilevel"/>
    <w:tmpl w:val="DAB332C1"/>
    <w:lvl w:ilvl="0" w:tentative="0">
      <w:start w:val="1"/>
      <w:numFmt w:val="chineseCounting"/>
      <w:pStyle w:val="3"/>
      <w:suff w:val="nothing"/>
      <w:lvlText w:val="第%1章 "/>
      <w:lvlJc w:val="left"/>
      <w:pPr>
        <w:tabs>
          <w:tab w:val="left" w:pos="420"/>
        </w:tabs>
        <w:ind w:left="432" w:hanging="432"/>
      </w:pPr>
      <w:rPr>
        <w:rFonts w:hint="eastAsia" w:ascii="宋体" w:hAnsi="宋体" w:eastAsia="宋体" w:cs="宋体"/>
      </w:rPr>
    </w:lvl>
    <w:lvl w:ilvl="1" w:tentative="0">
      <w:start w:val="1"/>
      <w:numFmt w:val="decimal"/>
      <w:isLgl/>
      <w:lvlText w:val="%1.%2."/>
      <w:lvlJc w:val="left"/>
      <w:pPr>
        <w:tabs>
          <w:tab w:val="left" w:pos="420"/>
        </w:tabs>
        <w:ind w:left="575" w:hanging="575"/>
      </w:pPr>
      <w:rPr>
        <w:rFonts w:hint="eastAsia" w:ascii="宋体" w:hAnsi="宋体" w:eastAsia="宋体" w:cs="宋体"/>
      </w:rPr>
    </w:lvl>
    <w:lvl w:ilvl="2" w:tentative="0">
      <w:start w:val="1"/>
      <w:numFmt w:val="decimal"/>
      <w:isLgl/>
      <w:lvlText w:val="%3."/>
      <w:lvlJc w:val="left"/>
      <w:pPr>
        <w:ind w:left="720" w:hanging="720"/>
      </w:pPr>
      <w:rPr>
        <w:rFonts w:hint="eastAsia" w:ascii="宋体" w:hAnsi="宋体" w:eastAsia="宋体" w:cs="宋体"/>
      </w:rPr>
    </w:lvl>
    <w:lvl w:ilvl="3" w:tentative="0">
      <w:start w:val="1"/>
      <w:numFmt w:val="decimal"/>
      <w:isLgl/>
      <w:lvlText w:val="%3.%4."/>
      <w:lvlJc w:val="left"/>
      <w:pPr>
        <w:ind w:left="864" w:hanging="864"/>
      </w:pPr>
      <w:rPr>
        <w:rFonts w:hint="eastAsia" w:ascii="宋体" w:hAnsi="宋体" w:eastAsia="宋体" w:cs="宋体"/>
      </w:rPr>
    </w:lvl>
    <w:lvl w:ilvl="4" w:tentative="0">
      <w:start w:val="1"/>
      <w:numFmt w:val="decimal"/>
      <w:isLgl/>
      <w:lvlText w:val="%3.%4.%5."/>
      <w:lvlJc w:val="left"/>
      <w:pPr>
        <w:ind w:left="1008" w:hanging="1008"/>
      </w:pPr>
      <w:rPr>
        <w:rFonts w:hint="eastAsia" w:ascii="宋体" w:hAnsi="宋体" w:eastAsia="宋体" w:cs="宋体"/>
      </w:rPr>
    </w:lvl>
    <w:lvl w:ilvl="5" w:tentative="0">
      <w:start w:val="1"/>
      <w:numFmt w:val="decimal"/>
      <w:isLgl/>
      <w:lvlText w:val="%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2">
    <w:nsid w:val="30528B99"/>
    <w:multiLevelType w:val="singleLevel"/>
    <w:tmpl w:val="30528B99"/>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kNzAyZDQ5NjUzYmYzY2UzNWFiNGFjMmE0NTQwNTYifQ=="/>
    <w:docVar w:name="KSO_WPS_MARK_KEY" w:val="0e708f06-034a-427f-a2d5-32399a2349de"/>
  </w:docVars>
  <w:rsids>
    <w:rsidRoot w:val="00000000"/>
    <w:rsid w:val="019E7223"/>
    <w:rsid w:val="01D21262"/>
    <w:rsid w:val="037C6E7B"/>
    <w:rsid w:val="04974060"/>
    <w:rsid w:val="055A5762"/>
    <w:rsid w:val="059F1401"/>
    <w:rsid w:val="07101A69"/>
    <w:rsid w:val="07AB66C0"/>
    <w:rsid w:val="08E05092"/>
    <w:rsid w:val="09B0214C"/>
    <w:rsid w:val="0AB119DE"/>
    <w:rsid w:val="0BDD7AC5"/>
    <w:rsid w:val="0C2A238F"/>
    <w:rsid w:val="0C45497E"/>
    <w:rsid w:val="0E6276DA"/>
    <w:rsid w:val="0F83083C"/>
    <w:rsid w:val="0FE24A21"/>
    <w:rsid w:val="1259182D"/>
    <w:rsid w:val="12B3434F"/>
    <w:rsid w:val="12B45B27"/>
    <w:rsid w:val="1322799A"/>
    <w:rsid w:val="13DC7590"/>
    <w:rsid w:val="15284D87"/>
    <w:rsid w:val="159649BC"/>
    <w:rsid w:val="170923CA"/>
    <w:rsid w:val="17EA381D"/>
    <w:rsid w:val="18371EB1"/>
    <w:rsid w:val="188B5829"/>
    <w:rsid w:val="18B51028"/>
    <w:rsid w:val="191C1327"/>
    <w:rsid w:val="19A215AC"/>
    <w:rsid w:val="1A2E3C40"/>
    <w:rsid w:val="1A8B2E61"/>
    <w:rsid w:val="1ADB1608"/>
    <w:rsid w:val="1BB750B7"/>
    <w:rsid w:val="1D100F23"/>
    <w:rsid w:val="1D2C0E20"/>
    <w:rsid w:val="1DB951F0"/>
    <w:rsid w:val="1F0B2AC7"/>
    <w:rsid w:val="1F3031B6"/>
    <w:rsid w:val="208F172F"/>
    <w:rsid w:val="22110A5F"/>
    <w:rsid w:val="22822AAF"/>
    <w:rsid w:val="25016E2F"/>
    <w:rsid w:val="25B54DF0"/>
    <w:rsid w:val="26B10C7F"/>
    <w:rsid w:val="26DA6159"/>
    <w:rsid w:val="26DB58E1"/>
    <w:rsid w:val="279D6126"/>
    <w:rsid w:val="280D678A"/>
    <w:rsid w:val="28F9462A"/>
    <w:rsid w:val="2B4E75D9"/>
    <w:rsid w:val="2C2220D9"/>
    <w:rsid w:val="2CF72E55"/>
    <w:rsid w:val="2EB705CC"/>
    <w:rsid w:val="2F15533D"/>
    <w:rsid w:val="2F7F26AB"/>
    <w:rsid w:val="2FA774C5"/>
    <w:rsid w:val="309C046A"/>
    <w:rsid w:val="32881CA7"/>
    <w:rsid w:val="337B0E24"/>
    <w:rsid w:val="349A75F8"/>
    <w:rsid w:val="37D70C31"/>
    <w:rsid w:val="38527DCC"/>
    <w:rsid w:val="388468E7"/>
    <w:rsid w:val="3981623D"/>
    <w:rsid w:val="3AAC152C"/>
    <w:rsid w:val="3BA62566"/>
    <w:rsid w:val="3BCD02B3"/>
    <w:rsid w:val="3CD27B5F"/>
    <w:rsid w:val="3D6B303B"/>
    <w:rsid w:val="3E0A5FF9"/>
    <w:rsid w:val="3E75264C"/>
    <w:rsid w:val="3FC647D1"/>
    <w:rsid w:val="404D09D5"/>
    <w:rsid w:val="40BC3C9E"/>
    <w:rsid w:val="437C555D"/>
    <w:rsid w:val="448B2895"/>
    <w:rsid w:val="44B87626"/>
    <w:rsid w:val="44E6688F"/>
    <w:rsid w:val="44EF288A"/>
    <w:rsid w:val="44FE0814"/>
    <w:rsid w:val="453B6D8D"/>
    <w:rsid w:val="475B7807"/>
    <w:rsid w:val="4B08573B"/>
    <w:rsid w:val="4BC157FC"/>
    <w:rsid w:val="4C904056"/>
    <w:rsid w:val="4C9B589F"/>
    <w:rsid w:val="4E9D5F8F"/>
    <w:rsid w:val="4FCC772D"/>
    <w:rsid w:val="50A84358"/>
    <w:rsid w:val="50C50575"/>
    <w:rsid w:val="50DE40AE"/>
    <w:rsid w:val="53A11DC7"/>
    <w:rsid w:val="540425AB"/>
    <w:rsid w:val="561312AC"/>
    <w:rsid w:val="56875D5C"/>
    <w:rsid w:val="57594102"/>
    <w:rsid w:val="58F95193"/>
    <w:rsid w:val="59315725"/>
    <w:rsid w:val="5AC04874"/>
    <w:rsid w:val="5B291DB0"/>
    <w:rsid w:val="5B8D4116"/>
    <w:rsid w:val="5C066634"/>
    <w:rsid w:val="5C660E9F"/>
    <w:rsid w:val="5D7D4555"/>
    <w:rsid w:val="5DE336DE"/>
    <w:rsid w:val="5DED6C94"/>
    <w:rsid w:val="5FF01176"/>
    <w:rsid w:val="608E69FA"/>
    <w:rsid w:val="61F73F29"/>
    <w:rsid w:val="62656C85"/>
    <w:rsid w:val="62BE7653"/>
    <w:rsid w:val="650049A6"/>
    <w:rsid w:val="67C02619"/>
    <w:rsid w:val="6836071C"/>
    <w:rsid w:val="68D811F4"/>
    <w:rsid w:val="6B8D5E24"/>
    <w:rsid w:val="6C281709"/>
    <w:rsid w:val="6C875134"/>
    <w:rsid w:val="6C9C7950"/>
    <w:rsid w:val="6DF0503F"/>
    <w:rsid w:val="6F2D7BE8"/>
    <w:rsid w:val="70785D38"/>
    <w:rsid w:val="7099612E"/>
    <w:rsid w:val="71567919"/>
    <w:rsid w:val="72FB055A"/>
    <w:rsid w:val="73893E5B"/>
    <w:rsid w:val="74204BE2"/>
    <w:rsid w:val="75A5057A"/>
    <w:rsid w:val="75FA44F2"/>
    <w:rsid w:val="763937E7"/>
    <w:rsid w:val="768A72D8"/>
    <w:rsid w:val="76AD6FD0"/>
    <w:rsid w:val="770B1E90"/>
    <w:rsid w:val="78D0138E"/>
    <w:rsid w:val="7AEA153C"/>
    <w:rsid w:val="7C574A54"/>
    <w:rsid w:val="7C6305B4"/>
    <w:rsid w:val="7C99506C"/>
    <w:rsid w:val="7E253F6C"/>
    <w:rsid w:val="7E492849"/>
    <w:rsid w:val="7E4931AA"/>
    <w:rsid w:val="7FD41311"/>
    <w:rsid w:val="7FFC07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numPr>
        <w:ilvl w:val="0"/>
        <w:numId w:val="1"/>
      </w:numPr>
      <w:tabs>
        <w:tab w:val="left" w:pos="0"/>
        <w:tab w:val="clear" w:pos="420"/>
      </w:tabs>
      <w:spacing w:before="340" w:beforeLines="0" w:beforeAutospacing="0" w:after="330" w:afterLines="0" w:afterAutospacing="0" w:line="576" w:lineRule="auto"/>
      <w:ind w:left="432" w:hanging="432" w:firstLineChars="0"/>
      <w:outlineLvl w:val="0"/>
    </w:pPr>
    <w:rPr>
      <w:b/>
      <w:kern w:val="44"/>
      <w:sz w:val="44"/>
    </w:rPr>
  </w:style>
  <w:style w:type="paragraph" w:styleId="4">
    <w:name w:val="heading 2"/>
    <w:basedOn w:val="1"/>
    <w:next w:val="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qFormat/>
    <w:uiPriority w:val="0"/>
  </w:style>
  <w:style w:type="table" w:default="1" w:styleId="9">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w:basedOn w:val="1"/>
    <w:autoRedefine/>
    <w:qFormat/>
    <w:uiPriority w:val="0"/>
    <w:pPr>
      <w:widowControl w:val="0"/>
      <w:adjustRightInd w:val="0"/>
      <w:snapToGrid w:val="0"/>
      <w:spacing w:after="120" w:afterLines="0" w:afterAutospacing="0" w:line="560" w:lineRule="exact"/>
      <w:ind w:firstLine="883" w:firstLineChars="200"/>
      <w:jc w:val="both"/>
    </w:pPr>
    <w:rPr>
      <w:rFonts w:eastAsia="仿宋_GB2312" w:asciiTheme="minorAscii" w:hAnsiTheme="minorAscii" w:cstheme="minorBidi"/>
      <w:kern w:val="2"/>
      <w:sz w:val="32"/>
      <w:szCs w:val="24"/>
      <w:lang w:val="en-US" w:eastAsia="zh-CN" w:bidi="ar-SA"/>
    </w:rPr>
  </w:style>
  <w:style w:type="paragraph" w:styleId="5">
    <w:name w:val="Body Text Indent"/>
    <w:basedOn w:val="1"/>
    <w:autoRedefine/>
    <w:unhideWhenUsed/>
    <w:qFormat/>
    <w:uiPriority w:val="99"/>
    <w:pPr>
      <w:spacing w:after="120"/>
      <w:ind w:left="420" w:leftChars="200"/>
    </w:pPr>
  </w:style>
  <w:style w:type="paragraph" w:styleId="6">
    <w:name w:val="Plain Text"/>
    <w:basedOn w:val="1"/>
    <w:autoRedefine/>
    <w:unhideWhenUsed/>
    <w:qFormat/>
    <w:uiPriority w:val="0"/>
    <w:rPr>
      <w:rFonts w:ascii="宋体" w:hAnsi="Courier New" w:eastAsia="宋体" w:cs="Times New Roman"/>
      <w:szCs w:val="21"/>
    </w:rPr>
  </w:style>
  <w:style w:type="paragraph" w:styleId="7">
    <w:name w:val="toc 1"/>
    <w:basedOn w:val="1"/>
    <w:next w:val="3"/>
    <w:unhideWhenUsed/>
    <w:qFormat/>
    <w:uiPriority w:val="39"/>
  </w:style>
  <w:style w:type="paragraph" w:styleId="8">
    <w:name w:val="Body Text First Indent 2"/>
    <w:basedOn w:val="5"/>
    <w:autoRedefine/>
    <w:unhideWhenUsed/>
    <w:qFormat/>
    <w:uiPriority w:val="99"/>
    <w:pPr>
      <w:spacing w:line="240" w:lineRule="auto"/>
      <w:ind w:left="420" w:leftChars="200" w:firstLine="200" w:firstLineChars="200"/>
    </w:pPr>
    <w:rPr>
      <w:rFonts w:ascii="Times New Roman" w:eastAsia="宋体"/>
      <w:sz w:val="21"/>
    </w:rPr>
  </w:style>
  <w:style w:type="table" w:styleId="10">
    <w:name w:val="Table Grid"/>
    <w:basedOn w:val="9"/>
    <w:autoRedefine/>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2">
    <w:name w:val="Hyperlink"/>
    <w:basedOn w:val="11"/>
    <w:autoRedefine/>
    <w:unhideWhenUsed/>
    <w:qFormat/>
    <w:uiPriority w:val="99"/>
    <w:rPr>
      <w:color w:val="0000FF"/>
      <w:u w:val="single"/>
    </w:rPr>
  </w:style>
  <w:style w:type="paragraph" w:customStyle="1" w:styleId="13">
    <w:name w:val="文本块1"/>
    <w:basedOn w:val="1"/>
    <w:autoRedefine/>
    <w:qFormat/>
    <w:uiPriority w:val="0"/>
    <w:pPr>
      <w:widowControl/>
      <w:tabs>
        <w:tab w:val="right" w:pos="8640"/>
      </w:tabs>
      <w:spacing w:after="120"/>
      <w:ind w:left="1440" w:leftChars="700" w:right="1440"/>
    </w:pPr>
    <w:rPr>
      <w:rFonts w:ascii="Garamond" w:hAnsi="Garamond" w:eastAsia="Times New Roman"/>
      <w:spacing w:val="-2"/>
      <w:kern w:val="0"/>
    </w:rPr>
  </w:style>
  <w:style w:type="paragraph" w:customStyle="1" w:styleId="14">
    <w:name w:val="msonormal msonormal"/>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List Paragraph"/>
    <w:basedOn w:val="1"/>
    <w:autoRedefine/>
    <w:qFormat/>
    <w:uiPriority w:val="34"/>
    <w:pPr>
      <w:ind w:firstLine="420" w:firstLineChars="200"/>
    </w:pPr>
  </w:style>
  <w:style w:type="character" w:customStyle="1" w:styleId="16">
    <w:name w:val="font51"/>
    <w:autoRedefine/>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6275</Words>
  <Characters>6496</Characters>
  <Lines>0</Lines>
  <Paragraphs>0</Paragraphs>
  <TotalTime>21</TotalTime>
  <ScaleCrop>false</ScaleCrop>
  <LinksUpToDate>false</LinksUpToDate>
  <CharactersWithSpaces>6635</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2022-06-14T10:34:00Z</dcterms:created>
  <dc:creator>05</dc:creator>
  <cp:lastModifiedBy>李泽凯</cp:lastModifiedBy>
  <cp:lastPrinted>2024-01-31T00:54:00Z</cp:lastPrinted>
  <dcterms:modified xsi:type="dcterms:W3CDTF">2024-03-15T05:41:01Z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A57CE22733A34F23A9A34C082A537B22</vt:lpwstr>
  </property>
</Properties>
</file>